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13E" w:rsidRPr="00E71156" w:rsidRDefault="0060013E" w:rsidP="00727E19">
      <w:pPr>
        <w:pStyle w:val="ListParagraph"/>
        <w:tabs>
          <w:tab w:val="left" w:pos="450"/>
        </w:tabs>
        <w:spacing w:line="360" w:lineRule="auto"/>
        <w:ind w:left="360"/>
        <w:jc w:val="both"/>
        <w:rPr>
          <w:rFonts w:ascii="Times New Roman" w:hAnsi="Times New Roman" w:cs="Times New Roman"/>
          <w:b/>
          <w:bCs/>
          <w:sz w:val="24"/>
          <w:szCs w:val="24"/>
        </w:rPr>
      </w:pPr>
    </w:p>
    <w:p w:rsidR="0060013E" w:rsidRPr="00E71156" w:rsidRDefault="0060013E" w:rsidP="00727E19">
      <w:pPr>
        <w:tabs>
          <w:tab w:val="left" w:pos="450"/>
        </w:tabs>
        <w:spacing w:line="360" w:lineRule="auto"/>
        <w:jc w:val="both"/>
        <w:rPr>
          <w:rFonts w:ascii="Times New Roman" w:hAnsi="Times New Roman" w:cs="Times New Roman"/>
          <w:b/>
          <w:bCs/>
          <w:sz w:val="24"/>
          <w:szCs w:val="24"/>
        </w:rPr>
      </w:pPr>
    </w:p>
    <w:p w:rsidR="0060013E" w:rsidRPr="00B01148" w:rsidRDefault="003708F0" w:rsidP="00B01148">
      <w:pPr>
        <w:pStyle w:val="ListParagraph"/>
        <w:tabs>
          <w:tab w:val="left" w:pos="450"/>
        </w:tabs>
        <w:spacing w:line="360" w:lineRule="auto"/>
        <w:ind w:left="360"/>
        <w:jc w:val="center"/>
        <w:rPr>
          <w:rFonts w:ascii="Times New Roman" w:hAnsi="Times New Roman" w:cs="Times New Roman"/>
          <w:b/>
          <w:bCs/>
          <w:sz w:val="32"/>
          <w:szCs w:val="32"/>
        </w:rPr>
      </w:pPr>
      <w:r w:rsidRPr="00B01148">
        <w:rPr>
          <w:rFonts w:ascii="Times New Roman" w:hAnsi="Times New Roman" w:cs="Times New Roman"/>
          <w:b/>
          <w:bCs/>
          <w:sz w:val="32"/>
          <w:szCs w:val="32"/>
        </w:rPr>
        <w:t>BEFORE THE KERALA STATE ELECTRICITY</w:t>
      </w:r>
    </w:p>
    <w:p w:rsidR="0060013E" w:rsidRPr="00B01148" w:rsidRDefault="003708F0" w:rsidP="00B01148">
      <w:pPr>
        <w:pStyle w:val="ListParagraph"/>
        <w:tabs>
          <w:tab w:val="left" w:pos="450"/>
        </w:tabs>
        <w:spacing w:line="360" w:lineRule="auto"/>
        <w:ind w:left="360"/>
        <w:jc w:val="center"/>
        <w:rPr>
          <w:rFonts w:ascii="Times New Roman" w:hAnsi="Times New Roman" w:cs="Times New Roman"/>
          <w:b/>
          <w:bCs/>
          <w:sz w:val="32"/>
          <w:szCs w:val="32"/>
        </w:rPr>
      </w:pPr>
      <w:r w:rsidRPr="00B01148">
        <w:rPr>
          <w:rFonts w:ascii="Times New Roman" w:hAnsi="Times New Roman" w:cs="Times New Roman"/>
          <w:b/>
          <w:bCs/>
          <w:sz w:val="32"/>
          <w:szCs w:val="32"/>
        </w:rPr>
        <w:t>REGULATORY COMMISSION</w:t>
      </w:r>
    </w:p>
    <w:p w:rsidR="0060013E" w:rsidRPr="00E71156" w:rsidRDefault="0060013E" w:rsidP="00727E19">
      <w:pPr>
        <w:pStyle w:val="ListParagraph"/>
        <w:tabs>
          <w:tab w:val="left" w:pos="450"/>
        </w:tabs>
        <w:spacing w:line="360" w:lineRule="auto"/>
        <w:ind w:left="360"/>
        <w:jc w:val="both"/>
        <w:rPr>
          <w:rFonts w:ascii="Times New Roman" w:hAnsi="Times New Roman" w:cs="Times New Roman"/>
          <w:b/>
          <w:bCs/>
          <w:sz w:val="24"/>
          <w:szCs w:val="24"/>
        </w:rPr>
      </w:pPr>
    </w:p>
    <w:p w:rsidR="0060013E" w:rsidRPr="00E71156" w:rsidRDefault="0060013E" w:rsidP="00727E19">
      <w:pPr>
        <w:pStyle w:val="ListParagraph"/>
        <w:tabs>
          <w:tab w:val="left" w:pos="450"/>
        </w:tabs>
        <w:spacing w:line="360" w:lineRule="auto"/>
        <w:ind w:left="360"/>
        <w:jc w:val="both"/>
        <w:rPr>
          <w:rFonts w:ascii="Times New Roman" w:hAnsi="Times New Roman" w:cs="Times New Roman"/>
          <w:b/>
          <w:bCs/>
          <w:sz w:val="24"/>
          <w:szCs w:val="24"/>
        </w:rPr>
      </w:pPr>
    </w:p>
    <w:p w:rsidR="0060013E" w:rsidRPr="00E71156" w:rsidRDefault="0060013E" w:rsidP="00727E19">
      <w:pPr>
        <w:pStyle w:val="ListParagraph"/>
        <w:tabs>
          <w:tab w:val="left" w:pos="450"/>
        </w:tabs>
        <w:spacing w:line="360" w:lineRule="auto"/>
        <w:ind w:left="360"/>
        <w:jc w:val="both"/>
        <w:rPr>
          <w:rFonts w:ascii="Times New Roman" w:hAnsi="Times New Roman" w:cs="Times New Roman"/>
          <w:sz w:val="24"/>
          <w:szCs w:val="24"/>
        </w:rPr>
      </w:pPr>
    </w:p>
    <w:p w:rsidR="0060013E" w:rsidRPr="00B01148" w:rsidRDefault="003708F0" w:rsidP="00727E19">
      <w:pPr>
        <w:pStyle w:val="ListParagraph"/>
        <w:tabs>
          <w:tab w:val="left" w:pos="450"/>
        </w:tabs>
        <w:spacing w:line="360" w:lineRule="auto"/>
        <w:ind w:left="360"/>
        <w:jc w:val="both"/>
        <w:rPr>
          <w:rFonts w:ascii="Times New Roman" w:hAnsi="Times New Roman" w:cs="Times New Roman"/>
          <w:sz w:val="28"/>
          <w:szCs w:val="28"/>
        </w:rPr>
      </w:pPr>
      <w:r w:rsidRPr="00B01148">
        <w:rPr>
          <w:rFonts w:ascii="Times New Roman" w:hAnsi="Times New Roman" w:cs="Times New Roman"/>
          <w:sz w:val="28"/>
          <w:szCs w:val="28"/>
        </w:rPr>
        <w:t>Petition No:</w:t>
      </w:r>
    </w:p>
    <w:p w:rsidR="0060013E" w:rsidRPr="00B01148" w:rsidRDefault="0060013E" w:rsidP="00727E19">
      <w:pPr>
        <w:pStyle w:val="ListParagraph"/>
        <w:tabs>
          <w:tab w:val="left" w:pos="450"/>
        </w:tabs>
        <w:spacing w:line="360" w:lineRule="auto"/>
        <w:ind w:left="360"/>
        <w:jc w:val="both"/>
        <w:rPr>
          <w:rFonts w:ascii="Times New Roman" w:hAnsi="Times New Roman" w:cs="Times New Roman"/>
          <w:b/>
          <w:bCs/>
          <w:sz w:val="28"/>
          <w:szCs w:val="28"/>
        </w:rPr>
      </w:pPr>
    </w:p>
    <w:p w:rsidR="0060013E" w:rsidRPr="00B01148" w:rsidRDefault="003708F0" w:rsidP="00727E19">
      <w:pPr>
        <w:pStyle w:val="ListParagraph"/>
        <w:tabs>
          <w:tab w:val="left" w:pos="450"/>
        </w:tabs>
        <w:spacing w:line="360" w:lineRule="auto"/>
        <w:ind w:left="360"/>
        <w:jc w:val="both"/>
        <w:rPr>
          <w:rFonts w:ascii="Times New Roman" w:hAnsi="Times New Roman" w:cs="Times New Roman"/>
          <w:sz w:val="28"/>
          <w:szCs w:val="28"/>
        </w:rPr>
      </w:pPr>
      <w:r w:rsidRPr="00B01148">
        <w:rPr>
          <w:rFonts w:ascii="Times New Roman" w:hAnsi="Times New Roman" w:cs="Times New Roman"/>
          <w:sz w:val="28"/>
          <w:szCs w:val="28"/>
        </w:rPr>
        <w:t>In the matter of:</w:t>
      </w:r>
    </w:p>
    <w:p w:rsidR="0060013E" w:rsidRPr="00E71156" w:rsidRDefault="0060013E" w:rsidP="00727E19">
      <w:pPr>
        <w:pStyle w:val="ListParagraph"/>
        <w:tabs>
          <w:tab w:val="left" w:pos="450"/>
        </w:tabs>
        <w:spacing w:line="360" w:lineRule="auto"/>
        <w:ind w:left="360"/>
        <w:jc w:val="both"/>
        <w:rPr>
          <w:rFonts w:ascii="Times New Roman" w:hAnsi="Times New Roman" w:cs="Times New Roman"/>
          <w:sz w:val="24"/>
          <w:szCs w:val="24"/>
        </w:rPr>
      </w:pPr>
    </w:p>
    <w:p w:rsidR="0060013E" w:rsidRPr="00E71156" w:rsidRDefault="0060013E" w:rsidP="00727E19">
      <w:pPr>
        <w:pStyle w:val="ListParagraph"/>
        <w:tabs>
          <w:tab w:val="left" w:pos="450"/>
        </w:tabs>
        <w:spacing w:line="360" w:lineRule="auto"/>
        <w:ind w:left="360"/>
        <w:jc w:val="both"/>
        <w:rPr>
          <w:rFonts w:ascii="Times New Roman" w:hAnsi="Times New Roman" w:cs="Times New Roman"/>
          <w:sz w:val="24"/>
          <w:szCs w:val="24"/>
        </w:rPr>
      </w:pPr>
    </w:p>
    <w:p w:rsidR="0060013E" w:rsidRPr="00B01148" w:rsidRDefault="003708F0" w:rsidP="00B01148">
      <w:pPr>
        <w:pStyle w:val="ListParagraph"/>
        <w:tabs>
          <w:tab w:val="left" w:pos="450"/>
        </w:tabs>
        <w:spacing w:line="360" w:lineRule="auto"/>
        <w:ind w:left="360"/>
        <w:jc w:val="center"/>
        <w:rPr>
          <w:rFonts w:ascii="Times New Roman" w:hAnsi="Times New Roman" w:cs="Times New Roman"/>
          <w:b/>
          <w:bCs/>
          <w:sz w:val="32"/>
          <w:szCs w:val="32"/>
        </w:rPr>
      </w:pPr>
      <w:r w:rsidRPr="00B01148">
        <w:rPr>
          <w:rFonts w:ascii="Times New Roman" w:hAnsi="Times New Roman" w:cs="Times New Roman"/>
          <w:b/>
          <w:bCs/>
          <w:sz w:val="32"/>
          <w:szCs w:val="32"/>
        </w:rPr>
        <w:t>Tr</w:t>
      </w:r>
      <w:r w:rsidR="00CB495E" w:rsidRPr="00B01148">
        <w:rPr>
          <w:rFonts w:ascii="Times New Roman" w:hAnsi="Times New Roman" w:cs="Times New Roman"/>
          <w:b/>
          <w:bCs/>
          <w:sz w:val="32"/>
          <w:szCs w:val="32"/>
        </w:rPr>
        <w:t xml:space="preserve">uing-Up of ARR &amp; ERC for FY </w:t>
      </w:r>
      <w:r w:rsidR="002C320B" w:rsidRPr="00B01148">
        <w:rPr>
          <w:rFonts w:ascii="Times New Roman" w:hAnsi="Times New Roman" w:cs="Times New Roman"/>
          <w:b/>
          <w:bCs/>
          <w:sz w:val="32"/>
          <w:szCs w:val="32"/>
        </w:rPr>
        <w:t>2022</w:t>
      </w:r>
      <w:r w:rsidR="00286F37" w:rsidRPr="00B01148">
        <w:rPr>
          <w:rFonts w:ascii="Times New Roman" w:hAnsi="Times New Roman" w:cs="Times New Roman"/>
          <w:b/>
          <w:bCs/>
          <w:sz w:val="32"/>
          <w:szCs w:val="32"/>
        </w:rPr>
        <w:t>-2</w:t>
      </w:r>
      <w:r w:rsidR="002C320B" w:rsidRPr="00B01148">
        <w:rPr>
          <w:rFonts w:ascii="Times New Roman" w:hAnsi="Times New Roman" w:cs="Times New Roman"/>
          <w:b/>
          <w:bCs/>
          <w:sz w:val="32"/>
          <w:szCs w:val="32"/>
        </w:rPr>
        <w:t>3</w:t>
      </w:r>
    </w:p>
    <w:p w:rsidR="0060013E" w:rsidRPr="00E71156" w:rsidRDefault="0060013E" w:rsidP="00727E19">
      <w:pPr>
        <w:pStyle w:val="ListParagraph"/>
        <w:tabs>
          <w:tab w:val="left" w:pos="450"/>
        </w:tabs>
        <w:spacing w:line="360" w:lineRule="auto"/>
        <w:ind w:left="360"/>
        <w:jc w:val="both"/>
        <w:rPr>
          <w:rFonts w:ascii="Times New Roman" w:hAnsi="Times New Roman" w:cs="Times New Roman"/>
          <w:b/>
          <w:bCs/>
          <w:sz w:val="24"/>
          <w:szCs w:val="24"/>
        </w:rPr>
      </w:pPr>
    </w:p>
    <w:p w:rsidR="0060013E" w:rsidRPr="00E71156" w:rsidRDefault="0060013E" w:rsidP="00727E19">
      <w:pPr>
        <w:pStyle w:val="ListParagraph"/>
        <w:tabs>
          <w:tab w:val="left" w:pos="450"/>
        </w:tabs>
        <w:spacing w:line="360" w:lineRule="auto"/>
        <w:ind w:left="360"/>
        <w:jc w:val="both"/>
        <w:rPr>
          <w:rFonts w:ascii="Times New Roman" w:hAnsi="Times New Roman" w:cs="Times New Roman"/>
          <w:b/>
          <w:bCs/>
          <w:sz w:val="24"/>
          <w:szCs w:val="24"/>
        </w:rPr>
      </w:pPr>
    </w:p>
    <w:p w:rsidR="0060013E" w:rsidRDefault="003708F0" w:rsidP="009F11F5">
      <w:pPr>
        <w:pStyle w:val="ListParagraph"/>
        <w:tabs>
          <w:tab w:val="left" w:pos="450"/>
        </w:tabs>
        <w:spacing w:before="240" w:line="240" w:lineRule="auto"/>
        <w:ind w:left="360"/>
        <w:jc w:val="both"/>
        <w:rPr>
          <w:rFonts w:ascii="Times New Roman" w:hAnsi="Times New Roman" w:cs="Times New Roman"/>
          <w:sz w:val="28"/>
          <w:szCs w:val="28"/>
        </w:rPr>
      </w:pPr>
      <w:r w:rsidRPr="00B01148">
        <w:rPr>
          <w:rFonts w:ascii="Times New Roman" w:hAnsi="Times New Roman" w:cs="Times New Roman"/>
          <w:sz w:val="28"/>
          <w:szCs w:val="28"/>
        </w:rPr>
        <w:t>Petitioner</w:t>
      </w:r>
    </w:p>
    <w:p w:rsidR="00B01148" w:rsidRDefault="00B01148" w:rsidP="009F11F5">
      <w:pPr>
        <w:pStyle w:val="ListParagraph"/>
        <w:tabs>
          <w:tab w:val="left" w:pos="450"/>
        </w:tabs>
        <w:spacing w:before="240" w:line="240" w:lineRule="auto"/>
        <w:ind w:left="360"/>
        <w:jc w:val="both"/>
        <w:rPr>
          <w:rFonts w:ascii="Times New Roman" w:hAnsi="Times New Roman" w:cs="Times New Roman"/>
          <w:sz w:val="28"/>
          <w:szCs w:val="28"/>
        </w:rPr>
      </w:pPr>
    </w:p>
    <w:p w:rsidR="00B01148" w:rsidRPr="00B01148" w:rsidRDefault="00B01148" w:rsidP="009F11F5">
      <w:pPr>
        <w:pStyle w:val="ListParagraph"/>
        <w:tabs>
          <w:tab w:val="left" w:pos="450"/>
        </w:tabs>
        <w:spacing w:before="240" w:line="240" w:lineRule="auto"/>
        <w:ind w:left="360"/>
        <w:jc w:val="both"/>
        <w:rPr>
          <w:rFonts w:ascii="Times New Roman" w:hAnsi="Times New Roman" w:cs="Times New Roman"/>
          <w:sz w:val="28"/>
          <w:szCs w:val="28"/>
        </w:rPr>
      </w:pPr>
    </w:p>
    <w:p w:rsidR="0060013E" w:rsidRPr="00B01148" w:rsidRDefault="0060013E" w:rsidP="009F11F5">
      <w:pPr>
        <w:pStyle w:val="ListParagraph"/>
        <w:tabs>
          <w:tab w:val="left" w:pos="450"/>
        </w:tabs>
        <w:spacing w:before="240" w:line="240" w:lineRule="auto"/>
        <w:ind w:left="360"/>
        <w:jc w:val="both"/>
        <w:rPr>
          <w:rFonts w:ascii="Times New Roman" w:hAnsi="Times New Roman" w:cs="Times New Roman"/>
          <w:sz w:val="28"/>
          <w:szCs w:val="28"/>
        </w:rPr>
      </w:pPr>
    </w:p>
    <w:p w:rsidR="0060013E" w:rsidRDefault="003708F0" w:rsidP="009F11F5">
      <w:pPr>
        <w:pStyle w:val="ListParagraph"/>
        <w:tabs>
          <w:tab w:val="left" w:pos="450"/>
        </w:tabs>
        <w:spacing w:before="240" w:line="240" w:lineRule="auto"/>
        <w:ind w:left="360"/>
        <w:jc w:val="both"/>
        <w:rPr>
          <w:rFonts w:ascii="Times New Roman" w:hAnsi="Times New Roman" w:cs="Times New Roman"/>
          <w:sz w:val="28"/>
          <w:szCs w:val="28"/>
        </w:rPr>
      </w:pPr>
      <w:r w:rsidRPr="00B01148">
        <w:rPr>
          <w:rFonts w:ascii="Times New Roman" w:hAnsi="Times New Roman" w:cs="Times New Roman"/>
          <w:sz w:val="28"/>
          <w:szCs w:val="28"/>
        </w:rPr>
        <w:t>Assistant Secretary</w:t>
      </w:r>
    </w:p>
    <w:p w:rsidR="00B01148" w:rsidRPr="00B01148" w:rsidRDefault="00B01148" w:rsidP="009F11F5">
      <w:pPr>
        <w:pStyle w:val="ListParagraph"/>
        <w:tabs>
          <w:tab w:val="left" w:pos="450"/>
        </w:tabs>
        <w:spacing w:before="240" w:line="240" w:lineRule="auto"/>
        <w:ind w:left="360"/>
        <w:jc w:val="both"/>
        <w:rPr>
          <w:rFonts w:ascii="Times New Roman" w:hAnsi="Times New Roman" w:cs="Times New Roman"/>
          <w:sz w:val="28"/>
          <w:szCs w:val="28"/>
        </w:rPr>
      </w:pPr>
    </w:p>
    <w:p w:rsidR="0060013E" w:rsidRDefault="003708F0" w:rsidP="009F11F5">
      <w:pPr>
        <w:pStyle w:val="ListParagraph"/>
        <w:tabs>
          <w:tab w:val="left" w:pos="450"/>
        </w:tabs>
        <w:spacing w:before="240" w:line="240" w:lineRule="auto"/>
        <w:ind w:left="360"/>
        <w:jc w:val="both"/>
        <w:rPr>
          <w:rFonts w:ascii="Times New Roman" w:hAnsi="Times New Roman" w:cs="Times New Roman"/>
          <w:sz w:val="28"/>
          <w:szCs w:val="28"/>
        </w:rPr>
      </w:pPr>
      <w:r w:rsidRPr="00B01148">
        <w:rPr>
          <w:rFonts w:ascii="Times New Roman" w:hAnsi="Times New Roman" w:cs="Times New Roman"/>
          <w:sz w:val="28"/>
          <w:szCs w:val="28"/>
        </w:rPr>
        <w:t>Thrissur Corporation</w:t>
      </w:r>
    </w:p>
    <w:p w:rsidR="00B01148" w:rsidRPr="00B01148" w:rsidRDefault="00B01148" w:rsidP="009F11F5">
      <w:pPr>
        <w:pStyle w:val="ListParagraph"/>
        <w:tabs>
          <w:tab w:val="left" w:pos="450"/>
        </w:tabs>
        <w:spacing w:before="240" w:line="240" w:lineRule="auto"/>
        <w:ind w:left="360"/>
        <w:jc w:val="both"/>
        <w:rPr>
          <w:rFonts w:ascii="Times New Roman" w:hAnsi="Times New Roman" w:cs="Times New Roman"/>
          <w:sz w:val="28"/>
          <w:szCs w:val="28"/>
        </w:rPr>
      </w:pPr>
    </w:p>
    <w:p w:rsidR="0060013E" w:rsidRPr="00B01148" w:rsidRDefault="003708F0" w:rsidP="009F11F5">
      <w:pPr>
        <w:pStyle w:val="ListParagraph"/>
        <w:tabs>
          <w:tab w:val="left" w:pos="450"/>
        </w:tabs>
        <w:spacing w:before="240" w:line="240" w:lineRule="auto"/>
        <w:ind w:left="360"/>
        <w:jc w:val="both"/>
        <w:rPr>
          <w:rFonts w:ascii="Times New Roman" w:hAnsi="Times New Roman" w:cs="Times New Roman"/>
          <w:sz w:val="28"/>
          <w:szCs w:val="28"/>
        </w:rPr>
      </w:pPr>
      <w:r w:rsidRPr="00B01148">
        <w:rPr>
          <w:rFonts w:ascii="Times New Roman" w:hAnsi="Times New Roman" w:cs="Times New Roman"/>
          <w:sz w:val="28"/>
          <w:szCs w:val="28"/>
        </w:rPr>
        <w:t>Thrissur 680001</w:t>
      </w:r>
    </w:p>
    <w:p w:rsidR="0060013E" w:rsidRPr="00E71156" w:rsidRDefault="0060013E" w:rsidP="009F11F5">
      <w:pPr>
        <w:pStyle w:val="ListParagraph"/>
        <w:tabs>
          <w:tab w:val="left" w:pos="450"/>
        </w:tabs>
        <w:spacing w:before="240" w:line="360" w:lineRule="auto"/>
        <w:ind w:left="360"/>
        <w:jc w:val="both"/>
        <w:rPr>
          <w:rFonts w:ascii="Times New Roman" w:hAnsi="Times New Roman" w:cs="Times New Roman"/>
          <w:b/>
          <w:bCs/>
          <w:sz w:val="24"/>
          <w:szCs w:val="24"/>
        </w:rPr>
      </w:pPr>
    </w:p>
    <w:p w:rsidR="009F11F5" w:rsidRPr="00E71156" w:rsidRDefault="009F11F5" w:rsidP="009F11F5">
      <w:pPr>
        <w:pStyle w:val="BodyText"/>
        <w:rPr>
          <w:rFonts w:ascii="Times New Roman" w:hAnsi="Times New Roman" w:cs="Times New Roman"/>
        </w:rPr>
      </w:pPr>
    </w:p>
    <w:p w:rsidR="009F11F5" w:rsidRPr="00E71156" w:rsidRDefault="009F11F5" w:rsidP="009F11F5">
      <w:pPr>
        <w:pStyle w:val="BodyText"/>
        <w:rPr>
          <w:rFonts w:ascii="Times New Roman" w:hAnsi="Times New Roman" w:cs="Times New Roman"/>
        </w:rPr>
      </w:pPr>
    </w:p>
    <w:p w:rsidR="009F11F5" w:rsidRPr="00E71156" w:rsidRDefault="009F11F5" w:rsidP="009F11F5">
      <w:pPr>
        <w:pStyle w:val="BodyText"/>
        <w:rPr>
          <w:rFonts w:ascii="Times New Roman" w:hAnsi="Times New Roman" w:cs="Times New Roman"/>
        </w:rPr>
      </w:pPr>
    </w:p>
    <w:p w:rsidR="009F11F5" w:rsidRPr="00E71156" w:rsidRDefault="009F11F5" w:rsidP="009F11F5">
      <w:pPr>
        <w:pStyle w:val="BodyText"/>
        <w:rPr>
          <w:rFonts w:ascii="Times New Roman" w:hAnsi="Times New Roman" w:cs="Times New Roman"/>
        </w:rPr>
      </w:pPr>
    </w:p>
    <w:p w:rsidR="009F11F5" w:rsidRPr="00E71156" w:rsidRDefault="009F11F5" w:rsidP="009F11F5">
      <w:pPr>
        <w:pStyle w:val="BodyText"/>
        <w:rPr>
          <w:rFonts w:ascii="Times New Roman" w:hAnsi="Times New Roman" w:cs="Times New Roman"/>
        </w:rPr>
      </w:pPr>
    </w:p>
    <w:p w:rsidR="009F11F5" w:rsidRPr="00E71156" w:rsidRDefault="009F11F5" w:rsidP="009F11F5">
      <w:pPr>
        <w:pStyle w:val="BodyText"/>
        <w:rPr>
          <w:rFonts w:ascii="Times New Roman" w:hAnsi="Times New Roman" w:cs="Times New Roman"/>
        </w:rPr>
      </w:pPr>
    </w:p>
    <w:p w:rsidR="009F11F5" w:rsidRPr="00E71156" w:rsidRDefault="009F11F5" w:rsidP="009F11F5">
      <w:pPr>
        <w:pStyle w:val="BodyText"/>
        <w:rPr>
          <w:rFonts w:ascii="Times New Roman" w:hAnsi="Times New Roman" w:cs="Times New Roman"/>
        </w:rPr>
      </w:pPr>
    </w:p>
    <w:p w:rsidR="009F11F5" w:rsidRDefault="009F11F5" w:rsidP="009F11F5">
      <w:pPr>
        <w:pStyle w:val="BodyText"/>
        <w:rPr>
          <w:rFonts w:ascii="Times New Roman" w:hAnsi="Times New Roman" w:cs="Times New Roman"/>
        </w:rPr>
      </w:pPr>
    </w:p>
    <w:p w:rsidR="00E71156" w:rsidRPr="00E71156" w:rsidRDefault="00E71156" w:rsidP="009F11F5">
      <w:pPr>
        <w:pStyle w:val="BodyText"/>
        <w:rPr>
          <w:rFonts w:ascii="Times New Roman" w:hAnsi="Times New Roman" w:cs="Times New Roman"/>
        </w:rPr>
      </w:pPr>
    </w:p>
    <w:p w:rsidR="004B7DA8" w:rsidRPr="00E71156" w:rsidRDefault="004B7DA8" w:rsidP="009F11F5">
      <w:pPr>
        <w:pStyle w:val="BodyText"/>
        <w:rPr>
          <w:rFonts w:ascii="Times New Roman" w:hAnsi="Times New Roman" w:cs="Times New Roman"/>
        </w:rPr>
      </w:pPr>
    </w:p>
    <w:p w:rsidR="009F11F5" w:rsidRPr="00E71156" w:rsidRDefault="009F11F5" w:rsidP="009F11F5">
      <w:pPr>
        <w:pStyle w:val="BodyText"/>
        <w:rPr>
          <w:rFonts w:ascii="Times New Roman" w:hAnsi="Times New Roman" w:cs="Times New Roman"/>
        </w:rPr>
      </w:pPr>
      <w:r w:rsidRPr="00E71156">
        <w:rPr>
          <w:rFonts w:ascii="Times New Roman" w:hAnsi="Times New Roman" w:cs="Times New Roman"/>
        </w:rPr>
        <w:t xml:space="preserve">AFFIDAVIT VERIFYING THE APPLICATION ACCOMPANYING THE PETITION FOR </w:t>
      </w:r>
      <w:r w:rsidR="004B7DA8" w:rsidRPr="00E71156">
        <w:rPr>
          <w:rFonts w:ascii="Times New Roman" w:hAnsi="Times New Roman" w:cs="Times New Roman"/>
        </w:rPr>
        <w:t xml:space="preserve">TRUING UP OF ARR 2022-23 OF </w:t>
      </w:r>
      <w:r w:rsidRPr="00E71156">
        <w:rPr>
          <w:rFonts w:ascii="Times New Roman" w:hAnsi="Times New Roman" w:cs="Times New Roman"/>
        </w:rPr>
        <w:t>THRISSUR CORPORATION ELECTRICITY DEPARTMENT</w:t>
      </w:r>
    </w:p>
    <w:p w:rsidR="009F11F5" w:rsidRPr="00E71156" w:rsidRDefault="009F11F5" w:rsidP="009F11F5">
      <w:pPr>
        <w:pStyle w:val="BodyText"/>
        <w:rPr>
          <w:rFonts w:ascii="Times New Roman" w:hAnsi="Times New Roman" w:cs="Times New Roman"/>
        </w:rPr>
      </w:pPr>
    </w:p>
    <w:p w:rsidR="009F11F5" w:rsidRPr="00E71156" w:rsidRDefault="009F11F5" w:rsidP="009F11F5">
      <w:pPr>
        <w:pStyle w:val="BodyText2"/>
        <w:widowControl w:val="0"/>
        <w:spacing w:line="240" w:lineRule="auto"/>
        <w:rPr>
          <w:sz w:val="24"/>
          <w:szCs w:val="24"/>
        </w:rPr>
      </w:pPr>
      <w:r w:rsidRPr="00E71156">
        <w:rPr>
          <w:sz w:val="24"/>
          <w:szCs w:val="24"/>
        </w:rPr>
        <w:tab/>
      </w:r>
    </w:p>
    <w:p w:rsidR="009F11F5" w:rsidRPr="00E71156" w:rsidRDefault="009F11F5" w:rsidP="009F11F5">
      <w:pPr>
        <w:pStyle w:val="BodyText2"/>
        <w:widowControl w:val="0"/>
        <w:spacing w:line="240" w:lineRule="auto"/>
        <w:ind w:firstLine="720"/>
        <w:jc w:val="both"/>
        <w:rPr>
          <w:sz w:val="24"/>
          <w:szCs w:val="24"/>
        </w:rPr>
      </w:pPr>
      <w:r w:rsidRPr="00E71156">
        <w:rPr>
          <w:sz w:val="24"/>
          <w:szCs w:val="24"/>
        </w:rPr>
        <w:t>I, N.K. Krishnakumar, (S/o of Late. V.K. Kumaran) aged 46 years, residing at, “Nambiparambil House”, 18/43, Keezhmad, Erumathala P.O., Aluva – 683 112 do hereby  solemnly affirm and state as follows:</w:t>
      </w:r>
    </w:p>
    <w:p w:rsidR="009F11F5" w:rsidRPr="00E71156" w:rsidRDefault="009F11F5" w:rsidP="009F11F5">
      <w:pPr>
        <w:jc w:val="both"/>
        <w:rPr>
          <w:rFonts w:ascii="Times New Roman" w:hAnsi="Times New Roman" w:cs="Times New Roman"/>
          <w:sz w:val="24"/>
          <w:szCs w:val="24"/>
        </w:rPr>
      </w:pPr>
      <w:r w:rsidRPr="00E71156">
        <w:rPr>
          <w:rFonts w:ascii="Times New Roman" w:hAnsi="Times New Roman" w:cs="Times New Roman"/>
          <w:sz w:val="24"/>
          <w:szCs w:val="24"/>
        </w:rPr>
        <w:tab/>
        <w:t>I am the Assistant Secretary, Thrissur Corporation, and the petitioner in the above matter and I am duly authorized by Secretary Thrissur Corporation to make this affidavit on his behalf. I solemnly affirm at Thrissur on this, the 18</w:t>
      </w:r>
      <w:r w:rsidRPr="00E71156">
        <w:rPr>
          <w:rFonts w:ascii="Times New Roman" w:hAnsi="Times New Roman" w:cs="Times New Roman"/>
          <w:sz w:val="24"/>
          <w:szCs w:val="24"/>
          <w:vertAlign w:val="superscript"/>
        </w:rPr>
        <w:t>th</w:t>
      </w:r>
      <w:r w:rsidRPr="00E71156">
        <w:rPr>
          <w:rFonts w:ascii="Times New Roman" w:hAnsi="Times New Roman" w:cs="Times New Roman"/>
          <w:sz w:val="24"/>
          <w:szCs w:val="24"/>
        </w:rPr>
        <w:t xml:space="preserve"> day of </w:t>
      </w:r>
      <w:r w:rsidR="004B7DA8" w:rsidRPr="00E71156">
        <w:rPr>
          <w:rFonts w:ascii="Times New Roman" w:hAnsi="Times New Roman" w:cs="Times New Roman"/>
          <w:sz w:val="24"/>
          <w:szCs w:val="24"/>
        </w:rPr>
        <w:t>November</w:t>
      </w:r>
      <w:r w:rsidRPr="00E71156">
        <w:rPr>
          <w:rFonts w:ascii="Times New Roman" w:hAnsi="Times New Roman" w:cs="Times New Roman"/>
          <w:sz w:val="24"/>
          <w:szCs w:val="24"/>
        </w:rPr>
        <w:t xml:space="preserve"> 2023 that</w:t>
      </w:r>
    </w:p>
    <w:p w:rsidR="009F11F5" w:rsidRPr="00E71156" w:rsidRDefault="009F11F5" w:rsidP="009F11F5">
      <w:pPr>
        <w:pStyle w:val="n"/>
        <w:rPr>
          <w:rFonts w:ascii="Times New Roman" w:hAnsi="Times New Roman"/>
          <w:lang w:val="en-US"/>
        </w:rPr>
      </w:pPr>
    </w:p>
    <w:p w:rsidR="009F11F5" w:rsidRPr="00E71156" w:rsidRDefault="009F11F5" w:rsidP="009F11F5">
      <w:pPr>
        <w:numPr>
          <w:ilvl w:val="0"/>
          <w:numId w:val="10"/>
        </w:numPr>
        <w:spacing w:after="0" w:line="240" w:lineRule="auto"/>
        <w:jc w:val="both"/>
        <w:rPr>
          <w:rFonts w:ascii="Times New Roman" w:hAnsi="Times New Roman" w:cs="Times New Roman"/>
          <w:sz w:val="24"/>
          <w:szCs w:val="24"/>
        </w:rPr>
      </w:pPr>
      <w:r w:rsidRPr="00E71156">
        <w:rPr>
          <w:rFonts w:ascii="Times New Roman" w:hAnsi="Times New Roman" w:cs="Times New Roman"/>
          <w:sz w:val="24"/>
          <w:szCs w:val="24"/>
        </w:rPr>
        <w:t>The contents of the above petition are true to my information, knowledge and belief. I believe that no part of it is false and no material has been concealed there from.</w:t>
      </w:r>
    </w:p>
    <w:p w:rsidR="009F11F5" w:rsidRPr="00E71156" w:rsidRDefault="009F11F5" w:rsidP="009F11F5">
      <w:pPr>
        <w:numPr>
          <w:ilvl w:val="0"/>
          <w:numId w:val="10"/>
        </w:numPr>
        <w:spacing w:after="0" w:line="240" w:lineRule="auto"/>
        <w:jc w:val="both"/>
        <w:rPr>
          <w:rFonts w:ascii="Times New Roman" w:hAnsi="Times New Roman" w:cs="Times New Roman"/>
          <w:sz w:val="24"/>
          <w:szCs w:val="24"/>
        </w:rPr>
      </w:pPr>
      <w:r w:rsidRPr="00E71156">
        <w:rPr>
          <w:rFonts w:ascii="Times New Roman" w:hAnsi="Times New Roman" w:cs="Times New Roman"/>
          <w:sz w:val="24"/>
          <w:szCs w:val="24"/>
        </w:rPr>
        <w:t>The statements made in paragraphs of the accompanying application are true to my knowledge and are derived from the official records made available to me and are based on the information and advice received which I believe to be true and correct.</w:t>
      </w:r>
    </w:p>
    <w:p w:rsidR="004B7DA8" w:rsidRPr="00E71156" w:rsidRDefault="009F11F5" w:rsidP="009F11F5">
      <w:pPr>
        <w:jc w:val="right"/>
        <w:rPr>
          <w:rFonts w:ascii="Times New Roman" w:hAnsi="Times New Roman" w:cs="Times New Roman"/>
          <w:sz w:val="24"/>
          <w:szCs w:val="24"/>
        </w:rPr>
      </w:pPr>
      <w:r w:rsidRPr="00E71156">
        <w:rPr>
          <w:rFonts w:ascii="Times New Roman" w:hAnsi="Times New Roman" w:cs="Times New Roman"/>
          <w:sz w:val="24"/>
          <w:szCs w:val="24"/>
        </w:rPr>
        <w:tab/>
      </w:r>
    </w:p>
    <w:p w:rsidR="009F11F5" w:rsidRPr="00E71156" w:rsidRDefault="009F11F5" w:rsidP="009F11F5">
      <w:pPr>
        <w:jc w:val="right"/>
        <w:rPr>
          <w:rFonts w:ascii="Times New Roman" w:hAnsi="Times New Roman" w:cs="Times New Roman"/>
          <w:sz w:val="24"/>
          <w:szCs w:val="24"/>
        </w:rPr>
      </w:pPr>
      <w:r w:rsidRPr="00E71156">
        <w:rPr>
          <w:rFonts w:ascii="Times New Roman" w:hAnsi="Times New Roman" w:cs="Times New Roman"/>
          <w:sz w:val="24"/>
          <w:szCs w:val="24"/>
        </w:rPr>
        <w:t>Deponent</w:t>
      </w:r>
    </w:p>
    <w:p w:rsidR="009F11F5" w:rsidRPr="00E71156" w:rsidRDefault="009F11F5" w:rsidP="009F11F5">
      <w:pPr>
        <w:pStyle w:val="AIOCNORMAL"/>
        <w:tabs>
          <w:tab w:val="clear" w:pos="1440"/>
        </w:tabs>
        <w:spacing w:before="0" w:after="0"/>
        <w:jc w:val="both"/>
        <w:rPr>
          <w:rFonts w:ascii="Times New Roman" w:hAnsi="Times New Roman"/>
          <w:sz w:val="24"/>
          <w:szCs w:val="24"/>
        </w:rPr>
      </w:pPr>
      <w:r w:rsidRPr="00E71156">
        <w:rPr>
          <w:rFonts w:ascii="Times New Roman" w:hAnsi="Times New Roman"/>
          <w:sz w:val="24"/>
          <w:szCs w:val="24"/>
        </w:rPr>
        <w:tab/>
      </w:r>
      <w:r w:rsidRPr="00E71156">
        <w:rPr>
          <w:rFonts w:ascii="Times New Roman" w:hAnsi="Times New Roman"/>
          <w:sz w:val="24"/>
          <w:szCs w:val="24"/>
        </w:rPr>
        <w:tab/>
      </w:r>
      <w:r w:rsidRPr="00E71156">
        <w:rPr>
          <w:rFonts w:ascii="Times New Roman" w:hAnsi="Times New Roman"/>
          <w:sz w:val="24"/>
          <w:szCs w:val="24"/>
        </w:rPr>
        <w:tab/>
      </w:r>
      <w:r w:rsidRPr="00E71156">
        <w:rPr>
          <w:rFonts w:ascii="Times New Roman" w:hAnsi="Times New Roman"/>
          <w:sz w:val="24"/>
          <w:szCs w:val="24"/>
        </w:rPr>
        <w:tab/>
      </w:r>
      <w:r w:rsidRPr="00E71156">
        <w:rPr>
          <w:rFonts w:ascii="Times New Roman" w:hAnsi="Times New Roman"/>
          <w:sz w:val="24"/>
          <w:szCs w:val="24"/>
        </w:rPr>
        <w:tab/>
      </w:r>
      <w:r w:rsidRPr="00E71156">
        <w:rPr>
          <w:rFonts w:ascii="Times New Roman" w:hAnsi="Times New Roman"/>
          <w:sz w:val="24"/>
          <w:szCs w:val="24"/>
        </w:rPr>
        <w:tab/>
        <w:t xml:space="preserve">         </w:t>
      </w:r>
      <w:r w:rsidRPr="00E71156">
        <w:rPr>
          <w:rFonts w:ascii="Times New Roman" w:hAnsi="Times New Roman"/>
          <w:sz w:val="24"/>
          <w:szCs w:val="24"/>
        </w:rPr>
        <w:tab/>
      </w:r>
    </w:p>
    <w:p w:rsidR="009F11F5" w:rsidRPr="00E71156" w:rsidRDefault="009F11F5" w:rsidP="004B7DA8">
      <w:pPr>
        <w:spacing w:after="0" w:line="240" w:lineRule="auto"/>
        <w:ind w:left="3600" w:firstLine="720"/>
        <w:jc w:val="center"/>
        <w:rPr>
          <w:rFonts w:ascii="Times New Roman" w:hAnsi="Times New Roman" w:cs="Times New Roman"/>
          <w:sz w:val="24"/>
          <w:szCs w:val="24"/>
        </w:rPr>
      </w:pPr>
      <w:r w:rsidRPr="00E71156">
        <w:rPr>
          <w:rFonts w:ascii="Times New Roman" w:hAnsi="Times New Roman" w:cs="Times New Roman"/>
          <w:sz w:val="24"/>
          <w:szCs w:val="24"/>
        </w:rPr>
        <w:t xml:space="preserve">                                 </w:t>
      </w:r>
      <w:r w:rsidR="00E71156">
        <w:rPr>
          <w:rFonts w:ascii="Times New Roman" w:hAnsi="Times New Roman" w:cs="Times New Roman"/>
          <w:sz w:val="24"/>
          <w:szCs w:val="24"/>
        </w:rPr>
        <w:t xml:space="preserve">     </w:t>
      </w:r>
      <w:r w:rsidR="004B7DA8" w:rsidRPr="00E71156">
        <w:rPr>
          <w:rFonts w:ascii="Times New Roman" w:hAnsi="Times New Roman" w:cs="Times New Roman"/>
          <w:sz w:val="24"/>
          <w:szCs w:val="24"/>
        </w:rPr>
        <w:t xml:space="preserve">          </w:t>
      </w:r>
      <w:r w:rsidRPr="00E71156">
        <w:rPr>
          <w:rFonts w:ascii="Times New Roman" w:hAnsi="Times New Roman" w:cs="Times New Roman"/>
          <w:sz w:val="24"/>
          <w:szCs w:val="24"/>
        </w:rPr>
        <w:t xml:space="preserve"> Assistant Secretary,</w:t>
      </w:r>
    </w:p>
    <w:p w:rsidR="009F11F5" w:rsidRPr="00E71156" w:rsidRDefault="004B7DA8" w:rsidP="004B7DA8">
      <w:pPr>
        <w:spacing w:after="0" w:line="240" w:lineRule="auto"/>
        <w:ind w:left="3600" w:firstLine="720"/>
        <w:jc w:val="right"/>
        <w:rPr>
          <w:rFonts w:ascii="Times New Roman" w:hAnsi="Times New Roman" w:cs="Times New Roman"/>
          <w:sz w:val="24"/>
          <w:szCs w:val="24"/>
        </w:rPr>
      </w:pPr>
      <w:r w:rsidRPr="00E71156">
        <w:rPr>
          <w:rFonts w:ascii="Times New Roman" w:hAnsi="Times New Roman" w:cs="Times New Roman"/>
          <w:sz w:val="24"/>
          <w:szCs w:val="24"/>
        </w:rPr>
        <w:t xml:space="preserve">           </w:t>
      </w:r>
      <w:r w:rsidR="009F11F5" w:rsidRPr="00E71156">
        <w:rPr>
          <w:rFonts w:ascii="Times New Roman" w:hAnsi="Times New Roman" w:cs="Times New Roman"/>
          <w:sz w:val="24"/>
          <w:szCs w:val="24"/>
        </w:rPr>
        <w:t xml:space="preserve"> Thrissur Corporation ,</w:t>
      </w:r>
    </w:p>
    <w:p w:rsidR="009F11F5" w:rsidRPr="00E71156" w:rsidRDefault="009F11F5" w:rsidP="004B7DA8">
      <w:pPr>
        <w:spacing w:after="0" w:line="240" w:lineRule="auto"/>
        <w:ind w:left="4320"/>
        <w:jc w:val="center"/>
        <w:rPr>
          <w:rFonts w:ascii="Times New Roman" w:hAnsi="Times New Roman" w:cs="Times New Roman"/>
          <w:sz w:val="24"/>
          <w:szCs w:val="24"/>
        </w:rPr>
      </w:pPr>
      <w:r w:rsidRPr="00E71156">
        <w:rPr>
          <w:rFonts w:ascii="Times New Roman" w:hAnsi="Times New Roman" w:cs="Times New Roman"/>
          <w:sz w:val="24"/>
          <w:szCs w:val="24"/>
        </w:rPr>
        <w:t xml:space="preserve">                             </w:t>
      </w:r>
      <w:r w:rsidR="00E71156">
        <w:rPr>
          <w:rFonts w:ascii="Times New Roman" w:hAnsi="Times New Roman" w:cs="Times New Roman"/>
          <w:sz w:val="24"/>
          <w:szCs w:val="24"/>
        </w:rPr>
        <w:t xml:space="preserve">                </w:t>
      </w:r>
      <w:r w:rsidRPr="00E71156">
        <w:rPr>
          <w:rFonts w:ascii="Times New Roman" w:hAnsi="Times New Roman" w:cs="Times New Roman"/>
          <w:sz w:val="24"/>
          <w:szCs w:val="24"/>
        </w:rPr>
        <w:t xml:space="preserve"> Thrissur– 680001</w:t>
      </w:r>
    </w:p>
    <w:p w:rsidR="009F11F5" w:rsidRPr="00E71156" w:rsidRDefault="009F11F5" w:rsidP="009F11F5">
      <w:pPr>
        <w:pStyle w:val="Heading1"/>
        <w:rPr>
          <w:rFonts w:ascii="Times New Roman" w:hAnsi="Times New Roman" w:cs="Times New Roman"/>
        </w:rPr>
      </w:pPr>
      <w:r w:rsidRPr="00E71156">
        <w:rPr>
          <w:rFonts w:ascii="Times New Roman" w:hAnsi="Times New Roman" w:cs="Times New Roman"/>
        </w:rPr>
        <w:t>VERIFICATION</w:t>
      </w:r>
    </w:p>
    <w:p w:rsidR="009F11F5" w:rsidRPr="00E71156" w:rsidRDefault="009F11F5" w:rsidP="00E66AD5">
      <w:pPr>
        <w:rPr>
          <w:rFonts w:ascii="Times New Roman" w:hAnsi="Times New Roman" w:cs="Times New Roman"/>
          <w:sz w:val="24"/>
          <w:szCs w:val="24"/>
        </w:rPr>
      </w:pPr>
      <w:r w:rsidRPr="00E71156">
        <w:rPr>
          <w:rFonts w:ascii="Times New Roman" w:hAnsi="Times New Roman" w:cs="Times New Roman"/>
          <w:b/>
          <w:sz w:val="24"/>
          <w:szCs w:val="24"/>
        </w:rPr>
        <w:tab/>
      </w:r>
      <w:r w:rsidRPr="00E71156">
        <w:rPr>
          <w:rFonts w:ascii="Times New Roman" w:hAnsi="Times New Roman" w:cs="Times New Roman"/>
          <w:sz w:val="24"/>
          <w:szCs w:val="24"/>
        </w:rPr>
        <w:t>I,</w:t>
      </w:r>
      <w:r w:rsidRPr="00E71156">
        <w:rPr>
          <w:rFonts w:ascii="Times New Roman" w:hAnsi="Times New Roman" w:cs="Times New Roman"/>
          <w:b/>
          <w:sz w:val="24"/>
          <w:szCs w:val="24"/>
        </w:rPr>
        <w:t xml:space="preserve"> </w:t>
      </w:r>
      <w:r w:rsidRPr="00E71156">
        <w:rPr>
          <w:rFonts w:ascii="Times New Roman" w:hAnsi="Times New Roman" w:cs="Times New Roman"/>
          <w:sz w:val="24"/>
          <w:szCs w:val="24"/>
        </w:rPr>
        <w:t xml:space="preserve">the above named deponent, solemnly affirm at Thrissur on this, the </w:t>
      </w:r>
      <w:r w:rsidR="00E66AD5" w:rsidRPr="00E66AD5">
        <w:rPr>
          <w:rFonts w:ascii="Times New Roman" w:hAnsi="Times New Roman" w:cs="Times New Roman"/>
          <w:sz w:val="24"/>
          <w:szCs w:val="24"/>
        </w:rPr>
        <w:t>27</w:t>
      </w:r>
      <w:r w:rsidRPr="00E66AD5">
        <w:rPr>
          <w:rFonts w:ascii="Times New Roman" w:hAnsi="Times New Roman" w:cs="Times New Roman"/>
          <w:sz w:val="24"/>
          <w:szCs w:val="24"/>
          <w:vertAlign w:val="superscript"/>
        </w:rPr>
        <w:t>th</w:t>
      </w:r>
      <w:r w:rsidR="00AD6045" w:rsidRPr="00E71156">
        <w:rPr>
          <w:rFonts w:ascii="Times New Roman" w:hAnsi="Times New Roman" w:cs="Times New Roman"/>
          <w:sz w:val="24"/>
          <w:szCs w:val="24"/>
        </w:rPr>
        <w:t xml:space="preserve"> day of November</w:t>
      </w:r>
      <w:r w:rsidRPr="00E71156">
        <w:rPr>
          <w:rFonts w:ascii="Times New Roman" w:hAnsi="Times New Roman" w:cs="Times New Roman"/>
          <w:sz w:val="24"/>
          <w:szCs w:val="24"/>
        </w:rPr>
        <w:t xml:space="preserve"> 2023 that the contents of the affidavit are true to my information, knowledge and belief, that no part of it is false and that no material has been concealed there from.</w:t>
      </w:r>
      <w:r w:rsidRPr="00E71156">
        <w:rPr>
          <w:rFonts w:ascii="Times New Roman" w:hAnsi="Times New Roman" w:cs="Times New Roman"/>
          <w:sz w:val="24"/>
          <w:szCs w:val="24"/>
        </w:rPr>
        <w:tab/>
      </w:r>
      <w:r w:rsidRPr="00E71156">
        <w:rPr>
          <w:rFonts w:ascii="Times New Roman" w:hAnsi="Times New Roman" w:cs="Times New Roman"/>
          <w:sz w:val="24"/>
          <w:szCs w:val="24"/>
        </w:rPr>
        <w:tab/>
      </w:r>
      <w:r w:rsidRPr="00E71156">
        <w:rPr>
          <w:rFonts w:ascii="Times New Roman" w:hAnsi="Times New Roman" w:cs="Times New Roman"/>
          <w:sz w:val="24"/>
          <w:szCs w:val="24"/>
        </w:rPr>
        <w:tab/>
      </w:r>
      <w:r w:rsidRPr="00E71156">
        <w:rPr>
          <w:rFonts w:ascii="Times New Roman" w:hAnsi="Times New Roman" w:cs="Times New Roman"/>
          <w:sz w:val="24"/>
          <w:szCs w:val="24"/>
        </w:rPr>
        <w:tab/>
      </w:r>
      <w:r w:rsidRPr="00E71156">
        <w:rPr>
          <w:rFonts w:ascii="Times New Roman" w:hAnsi="Times New Roman" w:cs="Times New Roman"/>
          <w:sz w:val="24"/>
          <w:szCs w:val="24"/>
        </w:rPr>
        <w:tab/>
      </w:r>
      <w:r w:rsidR="004B7DA8" w:rsidRPr="00E71156">
        <w:rPr>
          <w:rFonts w:ascii="Times New Roman" w:hAnsi="Times New Roman" w:cs="Times New Roman"/>
          <w:sz w:val="24"/>
          <w:szCs w:val="24"/>
        </w:rPr>
        <w:t xml:space="preserve">                                           </w:t>
      </w:r>
      <w:r w:rsidRPr="00E71156">
        <w:rPr>
          <w:rFonts w:ascii="Times New Roman" w:hAnsi="Times New Roman" w:cs="Times New Roman"/>
          <w:sz w:val="24"/>
          <w:szCs w:val="24"/>
        </w:rPr>
        <w:t>Deponent</w:t>
      </w:r>
    </w:p>
    <w:p w:rsidR="00E71156" w:rsidRDefault="00E71156" w:rsidP="004B7DA8">
      <w:pPr>
        <w:spacing w:after="0"/>
        <w:ind w:left="5616"/>
        <w:jc w:val="center"/>
        <w:rPr>
          <w:rFonts w:ascii="Times New Roman" w:hAnsi="Times New Roman" w:cs="Times New Roman"/>
          <w:sz w:val="24"/>
          <w:szCs w:val="24"/>
        </w:rPr>
      </w:pPr>
      <w:r>
        <w:rPr>
          <w:rFonts w:ascii="Times New Roman" w:hAnsi="Times New Roman" w:cs="Times New Roman"/>
          <w:sz w:val="24"/>
          <w:szCs w:val="24"/>
        </w:rPr>
        <w:tab/>
      </w:r>
    </w:p>
    <w:p w:rsidR="00E71156" w:rsidRDefault="00E71156" w:rsidP="004B7DA8">
      <w:pPr>
        <w:spacing w:after="0"/>
        <w:ind w:left="5616"/>
        <w:jc w:val="center"/>
        <w:rPr>
          <w:rFonts w:ascii="Times New Roman" w:hAnsi="Times New Roman" w:cs="Times New Roman"/>
          <w:sz w:val="24"/>
          <w:szCs w:val="24"/>
        </w:rPr>
      </w:pPr>
    </w:p>
    <w:p w:rsidR="009F11F5" w:rsidRPr="00E71156" w:rsidRDefault="00E71156" w:rsidP="004B7DA8">
      <w:pPr>
        <w:spacing w:after="0"/>
        <w:ind w:left="5616"/>
        <w:jc w:val="center"/>
        <w:rPr>
          <w:rFonts w:ascii="Times New Roman" w:hAnsi="Times New Roman" w:cs="Times New Roman"/>
          <w:sz w:val="24"/>
          <w:szCs w:val="24"/>
        </w:rPr>
      </w:pPr>
      <w:r>
        <w:rPr>
          <w:rFonts w:ascii="Times New Roman" w:hAnsi="Times New Roman" w:cs="Times New Roman"/>
          <w:sz w:val="24"/>
          <w:szCs w:val="24"/>
        </w:rPr>
        <w:tab/>
      </w:r>
      <w:r w:rsidR="009F11F5" w:rsidRPr="00E71156">
        <w:rPr>
          <w:rFonts w:ascii="Times New Roman" w:hAnsi="Times New Roman" w:cs="Times New Roman"/>
          <w:sz w:val="24"/>
          <w:szCs w:val="24"/>
        </w:rPr>
        <w:t>Assistant Secretary,</w:t>
      </w:r>
    </w:p>
    <w:p w:rsidR="009F11F5" w:rsidRPr="00E71156" w:rsidRDefault="009F11F5" w:rsidP="004B7DA8">
      <w:pPr>
        <w:spacing w:after="0"/>
        <w:ind w:left="3600" w:firstLine="720"/>
        <w:jc w:val="right"/>
        <w:rPr>
          <w:rFonts w:ascii="Times New Roman" w:hAnsi="Times New Roman" w:cs="Times New Roman"/>
          <w:sz w:val="24"/>
          <w:szCs w:val="24"/>
        </w:rPr>
      </w:pPr>
      <w:r w:rsidRPr="00E71156">
        <w:rPr>
          <w:rFonts w:ascii="Times New Roman" w:hAnsi="Times New Roman" w:cs="Times New Roman"/>
          <w:sz w:val="24"/>
          <w:szCs w:val="24"/>
        </w:rPr>
        <w:t xml:space="preserve">              Thrissur Corporation ,</w:t>
      </w:r>
    </w:p>
    <w:p w:rsidR="009F11F5" w:rsidRPr="00E71156" w:rsidRDefault="009F11F5" w:rsidP="004B7DA8">
      <w:pPr>
        <w:spacing w:after="0"/>
        <w:ind w:left="4320"/>
        <w:jc w:val="center"/>
        <w:rPr>
          <w:rFonts w:ascii="Times New Roman" w:hAnsi="Times New Roman" w:cs="Times New Roman"/>
          <w:sz w:val="24"/>
          <w:szCs w:val="24"/>
        </w:rPr>
      </w:pPr>
      <w:r w:rsidRPr="00E71156">
        <w:rPr>
          <w:rFonts w:ascii="Times New Roman" w:hAnsi="Times New Roman" w:cs="Times New Roman"/>
          <w:sz w:val="24"/>
          <w:szCs w:val="24"/>
        </w:rPr>
        <w:t xml:space="preserve">            </w:t>
      </w:r>
      <w:r w:rsidR="004B7DA8" w:rsidRPr="00E71156">
        <w:rPr>
          <w:rFonts w:ascii="Times New Roman" w:hAnsi="Times New Roman" w:cs="Times New Roman"/>
          <w:sz w:val="24"/>
          <w:szCs w:val="24"/>
        </w:rPr>
        <w:t xml:space="preserve">               </w:t>
      </w:r>
      <w:r w:rsidR="00E71156">
        <w:rPr>
          <w:rFonts w:ascii="Times New Roman" w:hAnsi="Times New Roman" w:cs="Times New Roman"/>
          <w:sz w:val="24"/>
          <w:szCs w:val="24"/>
        </w:rPr>
        <w:t xml:space="preserve">                   </w:t>
      </w:r>
      <w:r w:rsidRPr="00E71156">
        <w:rPr>
          <w:rFonts w:ascii="Times New Roman" w:hAnsi="Times New Roman" w:cs="Times New Roman"/>
          <w:sz w:val="24"/>
          <w:szCs w:val="24"/>
        </w:rPr>
        <w:t>Thrissur– 680001</w:t>
      </w:r>
    </w:p>
    <w:p w:rsidR="009F11F5" w:rsidRPr="00E71156" w:rsidRDefault="009F11F5" w:rsidP="009F11F5">
      <w:pPr>
        <w:rPr>
          <w:rFonts w:ascii="Times New Roman" w:hAnsi="Times New Roman" w:cs="Times New Roman"/>
          <w:sz w:val="24"/>
          <w:szCs w:val="24"/>
        </w:rPr>
      </w:pPr>
      <w:r w:rsidRPr="00E71156">
        <w:rPr>
          <w:rFonts w:ascii="Times New Roman" w:hAnsi="Times New Roman" w:cs="Times New Roman"/>
          <w:sz w:val="24"/>
          <w:szCs w:val="24"/>
        </w:rPr>
        <w:t>Solemnly affirmed and signed before me.</w:t>
      </w:r>
    </w:p>
    <w:p w:rsidR="009F11F5" w:rsidRPr="00E71156" w:rsidRDefault="009F11F5" w:rsidP="009F11F5">
      <w:pPr>
        <w:pStyle w:val="n"/>
        <w:rPr>
          <w:rFonts w:ascii="Times New Roman" w:hAnsi="Times New Roman"/>
          <w:lang w:val="en-US"/>
        </w:rPr>
      </w:pPr>
      <w:r w:rsidRPr="00E71156">
        <w:rPr>
          <w:rFonts w:ascii="Times New Roman" w:hAnsi="Times New Roman"/>
          <w:lang w:val="en-US"/>
        </w:rPr>
        <w:tab/>
      </w:r>
      <w:r w:rsidRPr="00E71156">
        <w:rPr>
          <w:rFonts w:ascii="Times New Roman" w:hAnsi="Times New Roman"/>
          <w:lang w:val="en-US"/>
        </w:rPr>
        <w:tab/>
      </w:r>
      <w:r w:rsidRPr="00E71156">
        <w:rPr>
          <w:rFonts w:ascii="Times New Roman" w:hAnsi="Times New Roman"/>
          <w:lang w:val="en-US"/>
        </w:rPr>
        <w:tab/>
      </w:r>
      <w:r w:rsidRPr="00E71156">
        <w:rPr>
          <w:rFonts w:ascii="Times New Roman" w:hAnsi="Times New Roman"/>
          <w:lang w:val="en-US"/>
        </w:rPr>
        <w:tab/>
      </w:r>
    </w:p>
    <w:p w:rsidR="009F11F5" w:rsidRPr="00E71156" w:rsidRDefault="009F11F5" w:rsidP="009F11F5">
      <w:pPr>
        <w:spacing w:line="360" w:lineRule="auto"/>
        <w:ind w:left="1080"/>
        <w:jc w:val="center"/>
        <w:rPr>
          <w:rFonts w:ascii="Times New Roman" w:hAnsi="Times New Roman" w:cs="Times New Roman"/>
          <w:sz w:val="24"/>
          <w:szCs w:val="24"/>
        </w:rPr>
      </w:pPr>
      <w:r w:rsidRPr="00E71156">
        <w:rPr>
          <w:rFonts w:ascii="Times New Roman" w:hAnsi="Times New Roman" w:cs="Times New Roman"/>
          <w:sz w:val="24"/>
          <w:szCs w:val="24"/>
        </w:rPr>
        <w:t>Advocate and Notary</w:t>
      </w:r>
    </w:p>
    <w:p w:rsidR="0060013E" w:rsidRPr="00E71156" w:rsidRDefault="0060013E" w:rsidP="00727E19">
      <w:pPr>
        <w:pStyle w:val="ListParagraph"/>
        <w:tabs>
          <w:tab w:val="left" w:pos="450"/>
        </w:tabs>
        <w:spacing w:line="360" w:lineRule="auto"/>
        <w:ind w:left="360"/>
        <w:jc w:val="both"/>
        <w:rPr>
          <w:rFonts w:ascii="Times New Roman" w:hAnsi="Times New Roman" w:cs="Times New Roman"/>
          <w:b/>
          <w:bCs/>
          <w:sz w:val="24"/>
          <w:szCs w:val="24"/>
        </w:rPr>
      </w:pPr>
    </w:p>
    <w:p w:rsidR="0060013E" w:rsidRPr="00E71156" w:rsidRDefault="0060013E" w:rsidP="00727E19">
      <w:pPr>
        <w:pStyle w:val="ListParagraph"/>
        <w:tabs>
          <w:tab w:val="left" w:pos="450"/>
        </w:tabs>
        <w:spacing w:line="360" w:lineRule="auto"/>
        <w:ind w:left="360"/>
        <w:jc w:val="both"/>
        <w:rPr>
          <w:rFonts w:ascii="Times New Roman" w:hAnsi="Times New Roman" w:cs="Times New Roman"/>
          <w:b/>
          <w:bCs/>
          <w:sz w:val="24"/>
          <w:szCs w:val="24"/>
        </w:rPr>
      </w:pPr>
    </w:p>
    <w:p w:rsidR="0060013E" w:rsidRPr="00E71156" w:rsidRDefault="003708F0" w:rsidP="009F11F5">
      <w:pPr>
        <w:tabs>
          <w:tab w:val="left" w:pos="450"/>
        </w:tabs>
        <w:spacing w:line="360" w:lineRule="auto"/>
        <w:jc w:val="center"/>
        <w:rPr>
          <w:rFonts w:ascii="Times New Roman" w:hAnsi="Times New Roman" w:cs="Times New Roman"/>
          <w:b/>
          <w:bCs/>
          <w:sz w:val="24"/>
          <w:szCs w:val="24"/>
          <w:u w:val="single"/>
        </w:rPr>
      </w:pPr>
      <w:r w:rsidRPr="00E71156">
        <w:rPr>
          <w:rFonts w:ascii="Times New Roman" w:hAnsi="Times New Roman" w:cs="Times New Roman"/>
          <w:b/>
          <w:bCs/>
          <w:sz w:val="24"/>
          <w:szCs w:val="24"/>
          <w:u w:val="single"/>
        </w:rPr>
        <w:t>Tab</w:t>
      </w:r>
      <w:r w:rsidR="002D2E12" w:rsidRPr="00E71156">
        <w:rPr>
          <w:rFonts w:ascii="Times New Roman" w:hAnsi="Times New Roman" w:cs="Times New Roman"/>
          <w:b/>
          <w:bCs/>
          <w:sz w:val="24"/>
          <w:szCs w:val="24"/>
          <w:u w:val="single"/>
        </w:rPr>
        <w:t>l</w:t>
      </w:r>
      <w:r w:rsidRPr="00E71156">
        <w:rPr>
          <w:rFonts w:ascii="Times New Roman" w:hAnsi="Times New Roman" w:cs="Times New Roman"/>
          <w:b/>
          <w:bCs/>
          <w:sz w:val="24"/>
          <w:szCs w:val="24"/>
          <w:u w:val="single"/>
        </w:rPr>
        <w:t>e of Content</w:t>
      </w:r>
    </w:p>
    <w:p w:rsidR="0060013E" w:rsidRPr="00E71156" w:rsidRDefault="003708F0" w:rsidP="002D2E12">
      <w:pPr>
        <w:pStyle w:val="ListParagraph"/>
        <w:numPr>
          <w:ilvl w:val="0"/>
          <w:numId w:val="9"/>
        </w:numPr>
        <w:tabs>
          <w:tab w:val="left" w:pos="63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Introduction</w:t>
      </w:r>
    </w:p>
    <w:p w:rsidR="0060013E" w:rsidRPr="00E71156" w:rsidRDefault="002D2E12" w:rsidP="00727E19">
      <w:pPr>
        <w:tabs>
          <w:tab w:val="left" w:pos="1440"/>
          <w:tab w:val="left" w:pos="198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 </w:t>
      </w:r>
      <w:r w:rsidR="0050432D" w:rsidRPr="00E71156">
        <w:rPr>
          <w:rFonts w:ascii="Times New Roman" w:hAnsi="Times New Roman" w:cs="Times New Roman"/>
          <w:sz w:val="24"/>
          <w:szCs w:val="24"/>
        </w:rPr>
        <w:t xml:space="preserve">    </w:t>
      </w:r>
      <w:r w:rsidRPr="00E71156">
        <w:rPr>
          <w:rFonts w:ascii="Times New Roman" w:hAnsi="Times New Roman" w:cs="Times New Roman"/>
          <w:sz w:val="24"/>
          <w:szCs w:val="24"/>
        </w:rPr>
        <w:t xml:space="preserve">  </w:t>
      </w:r>
      <w:r w:rsidR="0050432D" w:rsidRPr="00E71156">
        <w:rPr>
          <w:rFonts w:ascii="Times New Roman" w:hAnsi="Times New Roman" w:cs="Times New Roman"/>
          <w:sz w:val="24"/>
          <w:szCs w:val="24"/>
        </w:rPr>
        <w:t xml:space="preserve">2. TCED </w:t>
      </w:r>
      <w:r w:rsidR="00812DAD" w:rsidRPr="00E71156">
        <w:rPr>
          <w:rFonts w:ascii="Times New Roman" w:hAnsi="Times New Roman" w:cs="Times New Roman"/>
          <w:sz w:val="24"/>
          <w:szCs w:val="24"/>
        </w:rPr>
        <w:t xml:space="preserve">distribution </w:t>
      </w:r>
      <w:r w:rsidR="0050432D" w:rsidRPr="00E71156">
        <w:rPr>
          <w:rFonts w:ascii="Times New Roman" w:hAnsi="Times New Roman" w:cs="Times New Roman"/>
          <w:sz w:val="24"/>
          <w:szCs w:val="24"/>
        </w:rPr>
        <w:t>network</w:t>
      </w:r>
    </w:p>
    <w:p w:rsidR="0060013E" w:rsidRPr="00E71156" w:rsidRDefault="0050432D" w:rsidP="00727E19">
      <w:pPr>
        <w:tabs>
          <w:tab w:val="left" w:pos="540"/>
          <w:tab w:val="left" w:pos="1980"/>
        </w:tabs>
        <w:spacing w:line="360" w:lineRule="auto"/>
        <w:jc w:val="both"/>
        <w:rPr>
          <w:rFonts w:ascii="Times New Roman" w:hAnsi="Times New Roman" w:cs="Times New Roman"/>
          <w:sz w:val="24"/>
          <w:szCs w:val="24"/>
        </w:rPr>
      </w:pPr>
      <w:r w:rsidRPr="00E71156">
        <w:rPr>
          <w:rFonts w:ascii="Times New Roman" w:hAnsi="Times New Roman" w:cs="Times New Roman"/>
          <w:b/>
          <w:sz w:val="24"/>
          <w:szCs w:val="24"/>
        </w:rPr>
        <w:t xml:space="preserve"> </w:t>
      </w:r>
      <w:r w:rsidR="002D2E12" w:rsidRPr="00E71156">
        <w:rPr>
          <w:rFonts w:ascii="Times New Roman" w:hAnsi="Times New Roman" w:cs="Times New Roman"/>
          <w:b/>
          <w:sz w:val="24"/>
          <w:szCs w:val="24"/>
        </w:rPr>
        <w:t xml:space="preserve">  </w:t>
      </w:r>
      <w:r w:rsidRPr="00E71156">
        <w:rPr>
          <w:rFonts w:ascii="Times New Roman" w:hAnsi="Times New Roman" w:cs="Times New Roman"/>
          <w:b/>
          <w:sz w:val="24"/>
          <w:szCs w:val="24"/>
        </w:rPr>
        <w:t xml:space="preserve">  </w:t>
      </w:r>
      <w:r w:rsidR="002D2E12" w:rsidRPr="00E71156">
        <w:rPr>
          <w:rFonts w:ascii="Times New Roman" w:hAnsi="Times New Roman" w:cs="Times New Roman"/>
          <w:b/>
          <w:sz w:val="24"/>
          <w:szCs w:val="24"/>
        </w:rPr>
        <w:t xml:space="preserve">  </w:t>
      </w:r>
      <w:r w:rsidRPr="00E71156">
        <w:rPr>
          <w:rFonts w:ascii="Times New Roman" w:hAnsi="Times New Roman" w:cs="Times New Roman"/>
          <w:sz w:val="24"/>
          <w:szCs w:val="24"/>
        </w:rPr>
        <w:t>3</w:t>
      </w:r>
      <w:r w:rsidR="0046710D" w:rsidRPr="00E71156">
        <w:rPr>
          <w:rFonts w:ascii="Times New Roman" w:hAnsi="Times New Roman" w:cs="Times New Roman"/>
          <w:sz w:val="24"/>
          <w:szCs w:val="24"/>
        </w:rPr>
        <w:t>.</w:t>
      </w:r>
      <w:r w:rsidR="002D2E12" w:rsidRPr="00E71156">
        <w:rPr>
          <w:rFonts w:ascii="Times New Roman" w:hAnsi="Times New Roman" w:cs="Times New Roman"/>
          <w:b/>
          <w:sz w:val="24"/>
          <w:szCs w:val="24"/>
        </w:rPr>
        <w:t xml:space="preserve"> </w:t>
      </w:r>
      <w:r w:rsidR="009750E1" w:rsidRPr="00E71156">
        <w:rPr>
          <w:rFonts w:ascii="Times New Roman" w:hAnsi="Times New Roman" w:cs="Times New Roman"/>
          <w:sz w:val="24"/>
          <w:szCs w:val="24"/>
        </w:rPr>
        <w:t>Energy Sales &amp; Loss trajectories</w:t>
      </w:r>
    </w:p>
    <w:p w:rsidR="0060013E" w:rsidRPr="00E71156" w:rsidRDefault="003708F0" w:rsidP="00727E19">
      <w:pPr>
        <w:pStyle w:val="ListParagraph"/>
        <w:tabs>
          <w:tab w:val="left" w:pos="1530"/>
          <w:tab w:val="left" w:pos="1980"/>
        </w:tabs>
        <w:spacing w:line="360" w:lineRule="auto"/>
        <w:ind w:left="1080"/>
        <w:jc w:val="both"/>
        <w:rPr>
          <w:rFonts w:ascii="Times New Roman" w:hAnsi="Times New Roman" w:cs="Times New Roman"/>
          <w:sz w:val="24"/>
          <w:szCs w:val="24"/>
        </w:rPr>
      </w:pPr>
      <w:r w:rsidRPr="00E71156">
        <w:rPr>
          <w:rFonts w:ascii="Times New Roman" w:hAnsi="Times New Roman" w:cs="Times New Roman"/>
          <w:sz w:val="24"/>
          <w:szCs w:val="24"/>
        </w:rPr>
        <w:t xml:space="preserve">3.1    </w:t>
      </w:r>
      <w:r w:rsidR="0050432D" w:rsidRPr="00E71156">
        <w:rPr>
          <w:rFonts w:ascii="Times New Roman" w:hAnsi="Times New Roman" w:cs="Times New Roman"/>
          <w:bCs/>
          <w:sz w:val="24"/>
          <w:szCs w:val="24"/>
        </w:rPr>
        <w:t xml:space="preserve">Energy Sales </w:t>
      </w:r>
      <w:r w:rsidR="00812DAD" w:rsidRPr="00E71156">
        <w:rPr>
          <w:rFonts w:ascii="Times New Roman" w:hAnsi="Times New Roman" w:cs="Times New Roman"/>
          <w:bCs/>
          <w:sz w:val="24"/>
          <w:szCs w:val="24"/>
        </w:rPr>
        <w:t>for FY 2022-23</w:t>
      </w:r>
    </w:p>
    <w:p w:rsidR="0060013E" w:rsidRPr="00E71156" w:rsidRDefault="003708F0" w:rsidP="00727E19">
      <w:pPr>
        <w:pStyle w:val="ListParagraph"/>
        <w:tabs>
          <w:tab w:val="left" w:pos="1980"/>
        </w:tabs>
        <w:spacing w:line="360" w:lineRule="auto"/>
        <w:ind w:left="1080"/>
        <w:jc w:val="both"/>
        <w:rPr>
          <w:rFonts w:ascii="Times New Roman" w:hAnsi="Times New Roman" w:cs="Times New Roman"/>
          <w:sz w:val="24"/>
          <w:szCs w:val="24"/>
        </w:rPr>
      </w:pPr>
      <w:r w:rsidRPr="00E71156">
        <w:rPr>
          <w:rFonts w:ascii="Times New Roman" w:hAnsi="Times New Roman" w:cs="Times New Roman"/>
          <w:sz w:val="24"/>
          <w:szCs w:val="24"/>
        </w:rPr>
        <w:t>3.2    Losses</w:t>
      </w:r>
    </w:p>
    <w:p w:rsidR="009750E1" w:rsidRPr="00E71156" w:rsidRDefault="009750E1" w:rsidP="009750E1">
      <w:pPr>
        <w:tabs>
          <w:tab w:val="left" w:pos="198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     4.</w:t>
      </w:r>
      <w:r w:rsidR="006C1ABA" w:rsidRPr="00E71156">
        <w:rPr>
          <w:rFonts w:ascii="Times New Roman" w:hAnsi="Times New Roman" w:cs="Times New Roman"/>
          <w:sz w:val="24"/>
          <w:szCs w:val="24"/>
        </w:rPr>
        <w:t xml:space="preserve"> </w:t>
      </w:r>
      <w:r w:rsidR="00812DAD" w:rsidRPr="00E71156">
        <w:rPr>
          <w:rFonts w:ascii="Times New Roman" w:hAnsi="Times New Roman" w:cs="Times New Roman"/>
          <w:sz w:val="24"/>
          <w:szCs w:val="24"/>
        </w:rPr>
        <w:t xml:space="preserve">Analysis on various </w:t>
      </w:r>
      <w:r w:rsidRPr="00E71156">
        <w:rPr>
          <w:rFonts w:ascii="Times New Roman" w:hAnsi="Times New Roman" w:cs="Times New Roman"/>
          <w:sz w:val="24"/>
          <w:szCs w:val="24"/>
        </w:rPr>
        <w:t>ARR</w:t>
      </w:r>
      <w:r w:rsidR="00812DAD" w:rsidRPr="00E71156">
        <w:rPr>
          <w:rFonts w:ascii="Times New Roman" w:hAnsi="Times New Roman" w:cs="Times New Roman"/>
          <w:sz w:val="24"/>
          <w:szCs w:val="24"/>
        </w:rPr>
        <w:t xml:space="preserve"> components</w:t>
      </w:r>
    </w:p>
    <w:p w:rsidR="0060013E" w:rsidRPr="00E71156" w:rsidRDefault="009750E1" w:rsidP="00727E19">
      <w:pPr>
        <w:pStyle w:val="ListParagraph"/>
        <w:tabs>
          <w:tab w:val="left" w:pos="1980"/>
        </w:tabs>
        <w:spacing w:line="360" w:lineRule="auto"/>
        <w:ind w:left="1080"/>
        <w:jc w:val="both"/>
        <w:rPr>
          <w:rFonts w:ascii="Times New Roman" w:hAnsi="Times New Roman" w:cs="Times New Roman"/>
          <w:sz w:val="24"/>
          <w:szCs w:val="24"/>
        </w:rPr>
      </w:pPr>
      <w:r w:rsidRPr="00E71156">
        <w:rPr>
          <w:rFonts w:ascii="Times New Roman" w:hAnsi="Times New Roman" w:cs="Times New Roman"/>
          <w:sz w:val="24"/>
          <w:szCs w:val="24"/>
        </w:rPr>
        <w:t>4.1</w:t>
      </w:r>
      <w:r w:rsidR="003708F0" w:rsidRPr="00E71156">
        <w:rPr>
          <w:rFonts w:ascii="Times New Roman" w:hAnsi="Times New Roman" w:cs="Times New Roman"/>
          <w:sz w:val="24"/>
          <w:szCs w:val="24"/>
        </w:rPr>
        <w:t xml:space="preserve">    Power Purchase Cost</w:t>
      </w:r>
    </w:p>
    <w:p w:rsidR="00EC1CF8" w:rsidRPr="00E71156" w:rsidRDefault="009750E1" w:rsidP="00727E19">
      <w:pPr>
        <w:pStyle w:val="ListParagraph"/>
        <w:tabs>
          <w:tab w:val="left" w:pos="1980"/>
        </w:tabs>
        <w:spacing w:line="360" w:lineRule="auto"/>
        <w:ind w:left="1080"/>
        <w:jc w:val="both"/>
        <w:rPr>
          <w:rFonts w:ascii="Times New Roman" w:hAnsi="Times New Roman" w:cs="Times New Roman"/>
          <w:sz w:val="24"/>
          <w:szCs w:val="24"/>
        </w:rPr>
      </w:pPr>
      <w:r w:rsidRPr="00E71156">
        <w:rPr>
          <w:rFonts w:ascii="Times New Roman" w:eastAsia="SimSun" w:hAnsi="Times New Roman" w:cs="Times New Roman"/>
          <w:sz w:val="24"/>
          <w:szCs w:val="24"/>
          <w:lang w:val="en-IN" w:eastAsia="en-IN"/>
        </w:rPr>
        <w:t>4.2</w:t>
      </w:r>
      <w:r w:rsidR="00BD66BC" w:rsidRPr="00E71156">
        <w:rPr>
          <w:rFonts w:ascii="Times New Roman" w:eastAsia="SimSun" w:hAnsi="Times New Roman" w:cs="Times New Roman"/>
          <w:sz w:val="24"/>
          <w:szCs w:val="24"/>
          <w:lang w:val="en-IN" w:eastAsia="en-IN"/>
        </w:rPr>
        <w:t xml:space="preserve">     </w:t>
      </w:r>
      <w:r w:rsidR="00EC1CF8" w:rsidRPr="00E71156">
        <w:rPr>
          <w:rFonts w:ascii="Times New Roman" w:eastAsia="SimSun" w:hAnsi="Times New Roman" w:cs="Times New Roman"/>
          <w:sz w:val="24"/>
          <w:szCs w:val="24"/>
          <w:lang w:val="en-IN" w:eastAsia="en-IN"/>
        </w:rPr>
        <w:t>O&amp;M expenses</w:t>
      </w:r>
    </w:p>
    <w:p w:rsidR="0060013E" w:rsidRPr="00E71156" w:rsidRDefault="009750E1" w:rsidP="00727E19">
      <w:pPr>
        <w:pStyle w:val="ListParagraph"/>
        <w:tabs>
          <w:tab w:val="left" w:pos="1980"/>
        </w:tabs>
        <w:spacing w:line="360" w:lineRule="auto"/>
        <w:ind w:left="1080"/>
        <w:jc w:val="both"/>
        <w:rPr>
          <w:rFonts w:ascii="Times New Roman" w:hAnsi="Times New Roman" w:cs="Times New Roman"/>
          <w:sz w:val="24"/>
          <w:szCs w:val="24"/>
        </w:rPr>
      </w:pPr>
      <w:r w:rsidRPr="00E71156">
        <w:rPr>
          <w:rFonts w:ascii="Times New Roman" w:hAnsi="Times New Roman" w:cs="Times New Roman"/>
          <w:sz w:val="24"/>
          <w:szCs w:val="24"/>
        </w:rPr>
        <w:t>4.3</w:t>
      </w:r>
      <w:r w:rsidR="003708F0" w:rsidRPr="00E71156">
        <w:rPr>
          <w:rFonts w:ascii="Times New Roman" w:hAnsi="Times New Roman" w:cs="Times New Roman"/>
          <w:sz w:val="24"/>
          <w:szCs w:val="24"/>
        </w:rPr>
        <w:t xml:space="preserve">    Depreciation</w:t>
      </w:r>
    </w:p>
    <w:p w:rsidR="00EC1CF8" w:rsidRPr="00E71156" w:rsidRDefault="009750E1" w:rsidP="00727E19">
      <w:pPr>
        <w:pStyle w:val="ListParagraph"/>
        <w:tabs>
          <w:tab w:val="left" w:pos="1440"/>
          <w:tab w:val="left" w:pos="1530"/>
          <w:tab w:val="left" w:pos="1980"/>
        </w:tabs>
        <w:spacing w:line="360" w:lineRule="auto"/>
        <w:ind w:left="1080"/>
        <w:jc w:val="both"/>
        <w:rPr>
          <w:rFonts w:ascii="Times New Roman" w:hAnsi="Times New Roman" w:cs="Times New Roman"/>
          <w:sz w:val="24"/>
          <w:szCs w:val="24"/>
        </w:rPr>
      </w:pPr>
      <w:r w:rsidRPr="00E71156">
        <w:rPr>
          <w:rFonts w:ascii="Times New Roman" w:hAnsi="Times New Roman" w:cs="Times New Roman"/>
          <w:sz w:val="24"/>
          <w:szCs w:val="24"/>
        </w:rPr>
        <w:t>4.4</w:t>
      </w:r>
      <w:r w:rsidR="00EC1CF8" w:rsidRPr="00E71156">
        <w:rPr>
          <w:rFonts w:ascii="Times New Roman" w:hAnsi="Times New Roman" w:cs="Times New Roman"/>
          <w:sz w:val="24"/>
          <w:szCs w:val="24"/>
        </w:rPr>
        <w:t xml:space="preserve">    Interest &amp; Finance Charge</w:t>
      </w:r>
    </w:p>
    <w:p w:rsidR="00EC1CF8" w:rsidRPr="00E71156" w:rsidRDefault="009750E1" w:rsidP="00727E19">
      <w:pPr>
        <w:pStyle w:val="ListParagraph"/>
        <w:tabs>
          <w:tab w:val="left" w:pos="1440"/>
          <w:tab w:val="left" w:pos="1530"/>
          <w:tab w:val="left" w:pos="1980"/>
        </w:tabs>
        <w:spacing w:line="360" w:lineRule="auto"/>
        <w:ind w:left="1080"/>
        <w:jc w:val="both"/>
        <w:rPr>
          <w:rFonts w:ascii="Times New Roman" w:hAnsi="Times New Roman" w:cs="Times New Roman"/>
          <w:sz w:val="24"/>
          <w:szCs w:val="24"/>
        </w:rPr>
      </w:pPr>
      <w:r w:rsidRPr="00E71156">
        <w:rPr>
          <w:rFonts w:ascii="Times New Roman" w:hAnsi="Times New Roman" w:cs="Times New Roman"/>
          <w:sz w:val="24"/>
          <w:szCs w:val="24"/>
        </w:rPr>
        <w:t>4.5</w:t>
      </w:r>
      <w:r w:rsidR="00EC1CF8" w:rsidRPr="00E71156">
        <w:rPr>
          <w:rFonts w:ascii="Times New Roman" w:hAnsi="Times New Roman" w:cs="Times New Roman"/>
          <w:sz w:val="24"/>
          <w:szCs w:val="24"/>
        </w:rPr>
        <w:t xml:space="preserve">    Return on Equity</w:t>
      </w:r>
    </w:p>
    <w:p w:rsidR="00EC1CF8" w:rsidRPr="00E71156" w:rsidRDefault="00E71156" w:rsidP="00727E19">
      <w:pPr>
        <w:pStyle w:val="ListParagraph"/>
        <w:tabs>
          <w:tab w:val="left" w:pos="1980"/>
        </w:tabs>
        <w:spacing w:line="360" w:lineRule="auto"/>
        <w:ind w:left="1080"/>
        <w:jc w:val="both"/>
        <w:rPr>
          <w:rFonts w:ascii="Times New Roman" w:hAnsi="Times New Roman" w:cs="Times New Roman"/>
          <w:sz w:val="24"/>
          <w:szCs w:val="24"/>
        </w:rPr>
      </w:pPr>
      <w:r w:rsidRPr="00E71156">
        <w:rPr>
          <w:rFonts w:ascii="Times New Roman" w:hAnsi="Times New Roman" w:cs="Times New Roman"/>
          <w:sz w:val="24"/>
          <w:szCs w:val="24"/>
        </w:rPr>
        <w:t>4.6    Loans &amp; Advances</w:t>
      </w:r>
    </w:p>
    <w:p w:rsidR="0060013E" w:rsidRPr="00E71156" w:rsidRDefault="009750E1" w:rsidP="00727E19">
      <w:pPr>
        <w:tabs>
          <w:tab w:val="left" w:pos="630"/>
          <w:tab w:val="left" w:pos="198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5</w:t>
      </w:r>
      <w:r w:rsidR="0046710D" w:rsidRPr="00E71156">
        <w:rPr>
          <w:rFonts w:ascii="Times New Roman" w:hAnsi="Times New Roman" w:cs="Times New Roman"/>
          <w:sz w:val="24"/>
          <w:szCs w:val="24"/>
        </w:rPr>
        <w:t>.</w:t>
      </w:r>
      <w:r w:rsidR="00B875CE" w:rsidRPr="00E71156">
        <w:rPr>
          <w:rFonts w:ascii="Times New Roman" w:hAnsi="Times New Roman" w:cs="Times New Roman"/>
          <w:b/>
          <w:sz w:val="24"/>
          <w:szCs w:val="24"/>
        </w:rPr>
        <w:t xml:space="preserve"> </w:t>
      </w:r>
      <w:r w:rsidR="003708F0" w:rsidRPr="00E71156">
        <w:rPr>
          <w:rFonts w:ascii="Times New Roman" w:hAnsi="Times New Roman" w:cs="Times New Roman"/>
          <w:sz w:val="24"/>
          <w:szCs w:val="24"/>
        </w:rPr>
        <w:t xml:space="preserve">Revenue </w:t>
      </w:r>
    </w:p>
    <w:p w:rsidR="0060013E" w:rsidRPr="00E71156" w:rsidRDefault="009750E1" w:rsidP="00727E19">
      <w:pPr>
        <w:pStyle w:val="ListParagraph"/>
        <w:tabs>
          <w:tab w:val="left" w:pos="1260"/>
          <w:tab w:val="left" w:pos="1980"/>
        </w:tabs>
        <w:spacing w:line="360" w:lineRule="auto"/>
        <w:ind w:left="1260" w:hanging="180"/>
        <w:jc w:val="both"/>
        <w:rPr>
          <w:rFonts w:ascii="Times New Roman" w:hAnsi="Times New Roman" w:cs="Times New Roman"/>
          <w:sz w:val="24"/>
          <w:szCs w:val="24"/>
        </w:rPr>
      </w:pPr>
      <w:r w:rsidRPr="00E71156">
        <w:rPr>
          <w:rFonts w:ascii="Times New Roman" w:hAnsi="Times New Roman" w:cs="Times New Roman"/>
          <w:sz w:val="24"/>
          <w:szCs w:val="24"/>
        </w:rPr>
        <w:t>5</w:t>
      </w:r>
      <w:r w:rsidR="003708F0" w:rsidRPr="00E71156">
        <w:rPr>
          <w:rFonts w:ascii="Times New Roman" w:hAnsi="Times New Roman" w:cs="Times New Roman"/>
          <w:sz w:val="24"/>
          <w:szCs w:val="24"/>
        </w:rPr>
        <w:t>.1     Non-Tariff Income</w:t>
      </w:r>
    </w:p>
    <w:p w:rsidR="0060013E" w:rsidRPr="00E71156" w:rsidRDefault="009750E1" w:rsidP="00727E19">
      <w:pPr>
        <w:tabs>
          <w:tab w:val="left" w:pos="1080"/>
          <w:tab w:val="left" w:pos="198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ab/>
        <w:t>5</w:t>
      </w:r>
      <w:r w:rsidR="003708F0" w:rsidRPr="00E71156">
        <w:rPr>
          <w:rFonts w:ascii="Times New Roman" w:hAnsi="Times New Roman" w:cs="Times New Roman"/>
          <w:sz w:val="24"/>
          <w:szCs w:val="24"/>
        </w:rPr>
        <w:t>.2     Revenue from Tariff</w:t>
      </w:r>
    </w:p>
    <w:p w:rsidR="00B875CE" w:rsidRPr="00E71156" w:rsidRDefault="009750E1" w:rsidP="00727E19">
      <w:pPr>
        <w:tabs>
          <w:tab w:val="left" w:pos="630"/>
          <w:tab w:val="left" w:pos="1080"/>
          <w:tab w:val="left" w:pos="1800"/>
          <w:tab w:val="left" w:pos="198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6</w:t>
      </w:r>
      <w:r w:rsidR="0046710D" w:rsidRPr="00E71156">
        <w:rPr>
          <w:rFonts w:ascii="Times New Roman" w:hAnsi="Times New Roman" w:cs="Times New Roman"/>
          <w:sz w:val="24"/>
          <w:szCs w:val="24"/>
        </w:rPr>
        <w:t>.</w:t>
      </w:r>
      <w:r w:rsidR="00B875CE" w:rsidRPr="00E71156">
        <w:rPr>
          <w:rFonts w:ascii="Times New Roman" w:hAnsi="Times New Roman" w:cs="Times New Roman"/>
          <w:sz w:val="24"/>
          <w:szCs w:val="24"/>
        </w:rPr>
        <w:t xml:space="preserve"> Actual Deficit / Surplus </w:t>
      </w:r>
    </w:p>
    <w:p w:rsidR="0060013E" w:rsidRPr="00E71156" w:rsidRDefault="00B875CE" w:rsidP="00727E19">
      <w:pPr>
        <w:tabs>
          <w:tab w:val="left" w:pos="630"/>
          <w:tab w:val="left" w:pos="1080"/>
          <w:tab w:val="left" w:pos="1800"/>
          <w:tab w:val="left" w:pos="198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7. </w:t>
      </w:r>
      <w:r w:rsidR="003708F0" w:rsidRPr="00E71156">
        <w:rPr>
          <w:rFonts w:ascii="Times New Roman" w:hAnsi="Times New Roman" w:cs="Times New Roman"/>
          <w:sz w:val="24"/>
          <w:szCs w:val="24"/>
        </w:rPr>
        <w:t>Prayer</w:t>
      </w:r>
    </w:p>
    <w:p w:rsidR="0060013E" w:rsidRPr="00E71156" w:rsidRDefault="003708F0" w:rsidP="00727E19">
      <w:pPr>
        <w:tabs>
          <w:tab w:val="left" w:pos="450"/>
          <w:tab w:val="left" w:pos="720"/>
          <w:tab w:val="left" w:pos="144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Annexure 1 – Financial Statements of TCED for FY </w:t>
      </w:r>
      <w:r w:rsidR="00286F37" w:rsidRPr="00E71156">
        <w:rPr>
          <w:rFonts w:ascii="Times New Roman" w:hAnsi="Times New Roman" w:cs="Times New Roman"/>
          <w:sz w:val="24"/>
          <w:szCs w:val="24"/>
        </w:rPr>
        <w:t>202</w:t>
      </w:r>
      <w:r w:rsidR="00B67785" w:rsidRPr="00E71156">
        <w:rPr>
          <w:rFonts w:ascii="Times New Roman" w:hAnsi="Times New Roman" w:cs="Times New Roman"/>
          <w:sz w:val="24"/>
          <w:szCs w:val="24"/>
        </w:rPr>
        <w:t>2</w:t>
      </w:r>
      <w:r w:rsidR="00286F37" w:rsidRPr="00E71156">
        <w:rPr>
          <w:rFonts w:ascii="Times New Roman" w:hAnsi="Times New Roman" w:cs="Times New Roman"/>
          <w:sz w:val="24"/>
          <w:szCs w:val="24"/>
        </w:rPr>
        <w:t>-2</w:t>
      </w:r>
      <w:r w:rsidR="00B67785" w:rsidRPr="00E71156">
        <w:rPr>
          <w:rFonts w:ascii="Times New Roman" w:hAnsi="Times New Roman" w:cs="Times New Roman"/>
          <w:sz w:val="24"/>
          <w:szCs w:val="24"/>
        </w:rPr>
        <w:t>3</w:t>
      </w:r>
    </w:p>
    <w:p w:rsidR="006C01F1" w:rsidRPr="00E71156" w:rsidRDefault="006C01F1" w:rsidP="00727E19">
      <w:pPr>
        <w:spacing w:line="360" w:lineRule="auto"/>
        <w:jc w:val="both"/>
        <w:rPr>
          <w:rFonts w:ascii="Times New Roman" w:hAnsi="Times New Roman" w:cs="Times New Roman"/>
          <w:sz w:val="24"/>
          <w:szCs w:val="24"/>
        </w:rPr>
      </w:pPr>
    </w:p>
    <w:p w:rsidR="002D2E12" w:rsidRPr="00E71156" w:rsidRDefault="002D2E12" w:rsidP="002D2E12">
      <w:pPr>
        <w:pStyle w:val="ListParagraph"/>
        <w:spacing w:line="360" w:lineRule="auto"/>
        <w:ind w:left="840"/>
        <w:jc w:val="both"/>
        <w:rPr>
          <w:rFonts w:ascii="Times New Roman" w:hAnsi="Times New Roman" w:cs="Times New Roman"/>
          <w:b/>
          <w:bCs/>
          <w:sz w:val="24"/>
          <w:szCs w:val="24"/>
          <w:u w:val="single"/>
        </w:rPr>
      </w:pPr>
    </w:p>
    <w:p w:rsidR="002D2E12" w:rsidRPr="00E71156" w:rsidRDefault="002D2E12" w:rsidP="002D2E12">
      <w:pPr>
        <w:pStyle w:val="ListParagraph"/>
        <w:spacing w:line="360" w:lineRule="auto"/>
        <w:ind w:left="840"/>
        <w:jc w:val="both"/>
        <w:rPr>
          <w:rFonts w:ascii="Times New Roman" w:hAnsi="Times New Roman" w:cs="Times New Roman"/>
          <w:b/>
          <w:bCs/>
          <w:sz w:val="24"/>
          <w:szCs w:val="24"/>
          <w:u w:val="single"/>
        </w:rPr>
      </w:pPr>
    </w:p>
    <w:p w:rsidR="0060013E" w:rsidRPr="00E71156" w:rsidRDefault="003708F0" w:rsidP="00727E19">
      <w:pPr>
        <w:pStyle w:val="ListParagraph"/>
        <w:numPr>
          <w:ilvl w:val="0"/>
          <w:numId w:val="2"/>
        </w:numPr>
        <w:spacing w:line="360" w:lineRule="auto"/>
        <w:jc w:val="both"/>
        <w:rPr>
          <w:rFonts w:ascii="Times New Roman" w:hAnsi="Times New Roman" w:cs="Times New Roman"/>
          <w:b/>
          <w:bCs/>
          <w:sz w:val="24"/>
          <w:szCs w:val="24"/>
          <w:u w:val="single"/>
        </w:rPr>
      </w:pPr>
      <w:r w:rsidRPr="00E71156">
        <w:rPr>
          <w:rFonts w:ascii="Times New Roman" w:hAnsi="Times New Roman" w:cs="Times New Roman"/>
          <w:b/>
          <w:bCs/>
          <w:sz w:val="24"/>
          <w:szCs w:val="24"/>
          <w:u w:val="single"/>
        </w:rPr>
        <w:lastRenderedPageBreak/>
        <w:t>Introduction</w:t>
      </w:r>
    </w:p>
    <w:p w:rsidR="0060013E" w:rsidRPr="00E71156" w:rsidRDefault="003708F0" w:rsidP="00E71156">
      <w:pPr>
        <w:spacing w:line="360" w:lineRule="auto"/>
        <w:ind w:firstLine="540"/>
        <w:jc w:val="both"/>
        <w:rPr>
          <w:rFonts w:ascii="Times New Roman" w:hAnsi="Times New Roman" w:cs="Times New Roman"/>
          <w:sz w:val="24"/>
          <w:szCs w:val="24"/>
        </w:rPr>
      </w:pPr>
      <w:r w:rsidRPr="00E71156">
        <w:rPr>
          <w:rFonts w:ascii="Times New Roman" w:hAnsi="Times New Roman" w:cs="Times New Roman"/>
          <w:sz w:val="24"/>
          <w:szCs w:val="24"/>
        </w:rPr>
        <w:t>This chapter encapsulates the background information about TCED and underlines the purpose, scope and structure of this Report.</w:t>
      </w:r>
    </w:p>
    <w:p w:rsidR="0060013E" w:rsidRPr="00E71156" w:rsidRDefault="003708F0" w:rsidP="00E71156">
      <w:pPr>
        <w:spacing w:line="360" w:lineRule="auto"/>
        <w:ind w:left="540"/>
        <w:jc w:val="both"/>
        <w:rPr>
          <w:rFonts w:ascii="Times New Roman" w:hAnsi="Times New Roman" w:cs="Times New Roman"/>
          <w:sz w:val="24"/>
          <w:szCs w:val="24"/>
        </w:rPr>
      </w:pPr>
      <w:r w:rsidRPr="00E71156">
        <w:rPr>
          <w:rFonts w:ascii="Times New Roman" w:hAnsi="Times New Roman" w:cs="Times New Roman"/>
          <w:b/>
          <w:sz w:val="24"/>
          <w:szCs w:val="24"/>
        </w:rPr>
        <w:t xml:space="preserve">1.1   </w:t>
      </w:r>
      <w:r w:rsidRPr="00E71156">
        <w:rPr>
          <w:rFonts w:ascii="Times New Roman" w:hAnsi="Times New Roman" w:cs="Times New Roman"/>
          <w:b/>
          <w:sz w:val="24"/>
          <w:szCs w:val="24"/>
          <w:u w:val="single"/>
        </w:rPr>
        <w:t>About the Report</w:t>
      </w:r>
    </w:p>
    <w:p w:rsidR="0060013E" w:rsidRPr="00E71156" w:rsidRDefault="003708F0" w:rsidP="002D2E12">
      <w:pPr>
        <w:spacing w:line="360" w:lineRule="auto"/>
        <w:ind w:firstLine="360"/>
        <w:jc w:val="both"/>
        <w:rPr>
          <w:rFonts w:ascii="Times New Roman" w:hAnsi="Times New Roman" w:cs="Times New Roman"/>
          <w:sz w:val="24"/>
          <w:szCs w:val="24"/>
        </w:rPr>
      </w:pPr>
      <w:r w:rsidRPr="00E71156">
        <w:rPr>
          <w:rFonts w:ascii="Times New Roman" w:hAnsi="Times New Roman" w:cs="Times New Roman"/>
          <w:sz w:val="24"/>
          <w:szCs w:val="24"/>
        </w:rPr>
        <w:t xml:space="preserve">This is the Annual Report for the financial year </w:t>
      </w:r>
      <w:r w:rsidR="00286F37" w:rsidRPr="00E71156">
        <w:rPr>
          <w:rFonts w:ascii="Times New Roman" w:hAnsi="Times New Roman" w:cs="Times New Roman"/>
          <w:sz w:val="24"/>
          <w:szCs w:val="24"/>
        </w:rPr>
        <w:t>202</w:t>
      </w:r>
      <w:r w:rsidR="00CB4926" w:rsidRPr="00E71156">
        <w:rPr>
          <w:rFonts w:ascii="Times New Roman" w:hAnsi="Times New Roman" w:cs="Times New Roman"/>
          <w:sz w:val="24"/>
          <w:szCs w:val="24"/>
        </w:rPr>
        <w:t>2</w:t>
      </w:r>
      <w:r w:rsidR="00286F37" w:rsidRPr="00E71156">
        <w:rPr>
          <w:rFonts w:ascii="Times New Roman" w:hAnsi="Times New Roman" w:cs="Times New Roman"/>
          <w:sz w:val="24"/>
          <w:szCs w:val="24"/>
        </w:rPr>
        <w:t>-2</w:t>
      </w:r>
      <w:r w:rsidR="00CB4926" w:rsidRPr="00E71156">
        <w:rPr>
          <w:rFonts w:ascii="Times New Roman" w:hAnsi="Times New Roman" w:cs="Times New Roman"/>
          <w:sz w:val="24"/>
          <w:szCs w:val="24"/>
        </w:rPr>
        <w:t>3</w:t>
      </w:r>
      <w:r w:rsidRPr="00E71156">
        <w:rPr>
          <w:rFonts w:ascii="Times New Roman" w:hAnsi="Times New Roman" w:cs="Times New Roman"/>
          <w:sz w:val="24"/>
          <w:szCs w:val="24"/>
        </w:rPr>
        <w:t xml:space="preserve">.This includes the Balance Sheet, Profit and Loss account, Significant Accounting Policies and the Notes to Account prepared based on the accrual basis of accounting as per the records /registers available with various sections of the Electricity Department of Thrissur Corporation (TCED). </w:t>
      </w:r>
    </w:p>
    <w:p w:rsidR="0060013E" w:rsidRPr="00E71156" w:rsidRDefault="003708F0" w:rsidP="00E71156">
      <w:pPr>
        <w:pStyle w:val="ListParagraph"/>
        <w:numPr>
          <w:ilvl w:val="1"/>
          <w:numId w:val="2"/>
        </w:numPr>
        <w:tabs>
          <w:tab w:val="left" w:pos="540"/>
        </w:tabs>
        <w:spacing w:line="360" w:lineRule="auto"/>
        <w:jc w:val="both"/>
        <w:rPr>
          <w:rFonts w:ascii="Times New Roman" w:hAnsi="Times New Roman" w:cs="Times New Roman"/>
          <w:b/>
          <w:sz w:val="24"/>
          <w:szCs w:val="24"/>
          <w:u w:val="single"/>
        </w:rPr>
      </w:pPr>
      <w:r w:rsidRPr="00E71156">
        <w:rPr>
          <w:rFonts w:ascii="Times New Roman" w:hAnsi="Times New Roman" w:cs="Times New Roman"/>
          <w:b/>
          <w:sz w:val="24"/>
          <w:szCs w:val="24"/>
          <w:u w:val="single"/>
        </w:rPr>
        <w:t>History</w:t>
      </w:r>
    </w:p>
    <w:p w:rsidR="00AC08B2" w:rsidRPr="00E71156" w:rsidRDefault="00CB4926" w:rsidP="002D2E12">
      <w:pPr>
        <w:pStyle w:val="ListParagraph"/>
        <w:spacing w:line="360" w:lineRule="auto"/>
        <w:ind w:left="0" w:firstLine="360"/>
        <w:jc w:val="both"/>
        <w:rPr>
          <w:rFonts w:ascii="Times New Roman" w:hAnsi="Times New Roman" w:cs="Times New Roman"/>
          <w:sz w:val="24"/>
          <w:szCs w:val="24"/>
        </w:rPr>
      </w:pPr>
      <w:r w:rsidRPr="00E71156">
        <w:rPr>
          <w:rFonts w:ascii="Times New Roman" w:hAnsi="Times New Roman" w:cs="Times New Roman"/>
          <w:sz w:val="24"/>
          <w:szCs w:val="24"/>
        </w:rPr>
        <w:t>The Thrissur Municipal Corporation manages the distribution of electricity to the residents and Commercial establishments through Thrissur Corporation Electricity Department</w:t>
      </w:r>
      <w:r w:rsidR="00280CFB" w:rsidRPr="00E71156">
        <w:rPr>
          <w:rFonts w:ascii="Times New Roman" w:hAnsi="Times New Roman" w:cs="Times New Roman"/>
          <w:sz w:val="24"/>
          <w:szCs w:val="24"/>
        </w:rPr>
        <w:t xml:space="preserve"> </w:t>
      </w:r>
      <w:r w:rsidRPr="00E71156">
        <w:rPr>
          <w:rFonts w:ascii="Times New Roman" w:hAnsi="Times New Roman" w:cs="Times New Roman"/>
          <w:sz w:val="24"/>
          <w:szCs w:val="24"/>
        </w:rPr>
        <w:t>(TCED).The distribution network covers about 12.65 Sq.km. Thrissur Corporation Electricity Department</w:t>
      </w:r>
      <w:r w:rsidR="00B67785" w:rsidRPr="00E71156">
        <w:rPr>
          <w:rFonts w:ascii="Times New Roman" w:hAnsi="Times New Roman" w:cs="Times New Roman"/>
          <w:sz w:val="24"/>
          <w:szCs w:val="24"/>
        </w:rPr>
        <w:t xml:space="preserve"> </w:t>
      </w:r>
      <w:r w:rsidRPr="00E71156">
        <w:rPr>
          <w:rFonts w:ascii="Times New Roman" w:hAnsi="Times New Roman" w:cs="Times New Roman"/>
          <w:sz w:val="24"/>
          <w:szCs w:val="24"/>
        </w:rPr>
        <w:t>(TCED) is one of the ten electricity distribution licensees in the state o</w:t>
      </w:r>
      <w:r w:rsidR="00DE1019" w:rsidRPr="00E71156">
        <w:rPr>
          <w:rFonts w:ascii="Times New Roman" w:hAnsi="Times New Roman" w:cs="Times New Roman"/>
          <w:sz w:val="24"/>
          <w:szCs w:val="24"/>
        </w:rPr>
        <w:t xml:space="preserve">f Kerala. </w:t>
      </w:r>
      <w:r w:rsidR="00341A23" w:rsidRPr="00E71156">
        <w:rPr>
          <w:rFonts w:ascii="Times New Roman" w:hAnsi="Times New Roman" w:cs="Times New Roman"/>
          <w:sz w:val="24"/>
          <w:szCs w:val="24"/>
        </w:rPr>
        <w:t>For the FY 2022-23,</w:t>
      </w:r>
      <w:r w:rsidR="00DE1019" w:rsidRPr="00E71156">
        <w:rPr>
          <w:rFonts w:ascii="Times New Roman" w:hAnsi="Times New Roman" w:cs="Times New Roman"/>
          <w:sz w:val="24"/>
          <w:szCs w:val="24"/>
        </w:rPr>
        <w:t xml:space="preserve"> TCED has 4</w:t>
      </w:r>
      <w:r w:rsidR="00341A23" w:rsidRPr="00E71156">
        <w:rPr>
          <w:rFonts w:ascii="Times New Roman" w:hAnsi="Times New Roman" w:cs="Times New Roman"/>
          <w:sz w:val="24"/>
          <w:szCs w:val="24"/>
        </w:rPr>
        <w:t xml:space="preserve">1832 </w:t>
      </w:r>
      <w:r w:rsidRPr="00E71156">
        <w:rPr>
          <w:rFonts w:ascii="Times New Roman" w:hAnsi="Times New Roman" w:cs="Times New Roman"/>
          <w:sz w:val="24"/>
          <w:szCs w:val="24"/>
        </w:rPr>
        <w:t>consumer</w:t>
      </w:r>
      <w:r w:rsidR="00341A23" w:rsidRPr="00E71156">
        <w:rPr>
          <w:rFonts w:ascii="Times New Roman" w:hAnsi="Times New Roman" w:cs="Times New Roman"/>
          <w:sz w:val="24"/>
          <w:szCs w:val="24"/>
        </w:rPr>
        <w:t>s</w:t>
      </w:r>
      <w:r w:rsidRPr="00E71156">
        <w:rPr>
          <w:rFonts w:ascii="Times New Roman" w:hAnsi="Times New Roman" w:cs="Times New Roman"/>
          <w:sz w:val="24"/>
          <w:szCs w:val="24"/>
        </w:rPr>
        <w:t xml:space="preserve"> and the annual energy sale is </w:t>
      </w:r>
      <w:r w:rsidR="00341A23" w:rsidRPr="00E71156">
        <w:rPr>
          <w:rFonts w:ascii="Times New Roman" w:hAnsi="Times New Roman" w:cs="Times New Roman"/>
          <w:sz w:val="24"/>
          <w:szCs w:val="24"/>
        </w:rPr>
        <w:t xml:space="preserve">148.36 </w:t>
      </w:r>
      <w:r w:rsidRPr="00E71156">
        <w:rPr>
          <w:rFonts w:ascii="Times New Roman" w:hAnsi="Times New Roman" w:cs="Times New Roman"/>
          <w:sz w:val="24"/>
          <w:szCs w:val="24"/>
        </w:rPr>
        <w:t>MU. TCED has its own 33, 66 and 110KV substations with 598 distribution transformers. Thrissur Corporation is unique in that it is the only local body engaged in the distribution of electricity aims to become an ideal licensee in India.</w:t>
      </w:r>
      <w:r w:rsidR="00DE1019" w:rsidRPr="00E71156">
        <w:rPr>
          <w:rFonts w:ascii="Times New Roman" w:hAnsi="Times New Roman" w:cs="Times New Roman"/>
          <w:sz w:val="24"/>
          <w:szCs w:val="24"/>
        </w:rPr>
        <w:t xml:space="preserve"> </w:t>
      </w:r>
      <w:r w:rsidRPr="00E71156">
        <w:rPr>
          <w:rFonts w:ascii="Times New Roman" w:hAnsi="Times New Roman" w:cs="Times New Roman"/>
          <w:sz w:val="24"/>
          <w:szCs w:val="24"/>
        </w:rPr>
        <w:t>TCED, though covering a small area of 12.65 sq. km, is a representative model of an urban town with an appropriate mix of consumers. TCED can be a show peace to the rest of the country in demonstrating latest trends in technology and distribution business options in areas of Smart metering, renewable energy integrations, energy storage, customer service levels, T and D losses and AT &amp; C losses, SAIDI/SAIFI etc.</w:t>
      </w:r>
    </w:p>
    <w:p w:rsidR="00382B36" w:rsidRPr="00E71156" w:rsidRDefault="00382B36" w:rsidP="00727E19">
      <w:pPr>
        <w:pStyle w:val="ListParagraph"/>
        <w:spacing w:line="360" w:lineRule="auto"/>
        <w:ind w:left="0"/>
        <w:jc w:val="both"/>
        <w:rPr>
          <w:rFonts w:ascii="Times New Roman" w:hAnsi="Times New Roman" w:cs="Times New Roman"/>
          <w:sz w:val="24"/>
          <w:szCs w:val="24"/>
        </w:rPr>
      </w:pPr>
    </w:p>
    <w:p w:rsidR="0060013E" w:rsidRPr="00E71156" w:rsidRDefault="003708F0" w:rsidP="00E71156">
      <w:pPr>
        <w:pStyle w:val="ListParagraph"/>
        <w:numPr>
          <w:ilvl w:val="1"/>
          <w:numId w:val="2"/>
        </w:numPr>
        <w:tabs>
          <w:tab w:val="left" w:pos="630"/>
        </w:tabs>
        <w:spacing w:line="360" w:lineRule="auto"/>
        <w:jc w:val="both"/>
        <w:rPr>
          <w:rFonts w:ascii="Times New Roman" w:hAnsi="Times New Roman" w:cs="Times New Roman"/>
          <w:b/>
          <w:sz w:val="24"/>
          <w:szCs w:val="24"/>
          <w:u w:val="single"/>
        </w:rPr>
      </w:pPr>
      <w:r w:rsidRPr="00E71156">
        <w:rPr>
          <w:rFonts w:ascii="Times New Roman" w:hAnsi="Times New Roman" w:cs="Times New Roman"/>
          <w:b/>
          <w:sz w:val="24"/>
          <w:szCs w:val="24"/>
          <w:u w:val="single"/>
        </w:rPr>
        <w:t>Objectives of the Report</w:t>
      </w:r>
    </w:p>
    <w:p w:rsidR="0060013E" w:rsidRPr="00E71156" w:rsidRDefault="00382B36" w:rsidP="00727E19">
      <w:pPr>
        <w:pStyle w:val="ListParagraph"/>
        <w:spacing w:line="360" w:lineRule="auto"/>
        <w:ind w:left="90"/>
        <w:jc w:val="both"/>
        <w:rPr>
          <w:rFonts w:ascii="Times New Roman" w:hAnsi="Times New Roman" w:cs="Times New Roman"/>
          <w:sz w:val="24"/>
          <w:szCs w:val="24"/>
        </w:rPr>
      </w:pPr>
      <w:r w:rsidRPr="00E71156">
        <w:rPr>
          <w:rFonts w:ascii="Times New Roman" w:hAnsi="Times New Roman" w:cs="Times New Roman"/>
          <w:sz w:val="24"/>
          <w:szCs w:val="24"/>
        </w:rPr>
        <w:t xml:space="preserve">     </w:t>
      </w:r>
      <w:r w:rsidR="003708F0" w:rsidRPr="00E71156">
        <w:rPr>
          <w:rFonts w:ascii="Times New Roman" w:hAnsi="Times New Roman" w:cs="Times New Roman"/>
          <w:sz w:val="24"/>
          <w:szCs w:val="24"/>
        </w:rPr>
        <w:t xml:space="preserve">The annual accounts prepared based on the accrual basis of accounting provides information about the performance of the TCED during the year, its assets and liabilities as on </w:t>
      </w:r>
      <w:r w:rsidR="00CB495E" w:rsidRPr="00E71156">
        <w:rPr>
          <w:rFonts w:ascii="Times New Roman" w:hAnsi="Times New Roman" w:cs="Times New Roman"/>
          <w:sz w:val="24"/>
          <w:szCs w:val="24"/>
        </w:rPr>
        <w:t>31st March, 202</w:t>
      </w:r>
      <w:r w:rsidR="00ED4EBA" w:rsidRPr="00E71156">
        <w:rPr>
          <w:rFonts w:ascii="Times New Roman" w:hAnsi="Times New Roman" w:cs="Times New Roman"/>
          <w:sz w:val="24"/>
          <w:szCs w:val="24"/>
        </w:rPr>
        <w:t>3</w:t>
      </w:r>
      <w:r w:rsidR="003708F0" w:rsidRPr="00E71156">
        <w:rPr>
          <w:rFonts w:ascii="Times New Roman" w:hAnsi="Times New Roman" w:cs="Times New Roman"/>
          <w:sz w:val="24"/>
          <w:szCs w:val="24"/>
        </w:rPr>
        <w:t>.</w:t>
      </w:r>
      <w:r w:rsidR="00ED4EBA" w:rsidRPr="00E71156">
        <w:rPr>
          <w:rFonts w:ascii="Times New Roman" w:hAnsi="Times New Roman" w:cs="Times New Roman"/>
          <w:sz w:val="24"/>
          <w:szCs w:val="24"/>
        </w:rPr>
        <w:t xml:space="preserve"> </w:t>
      </w:r>
      <w:r w:rsidR="003708F0" w:rsidRPr="00E71156">
        <w:rPr>
          <w:rFonts w:ascii="Times New Roman" w:hAnsi="Times New Roman" w:cs="Times New Roman"/>
          <w:sz w:val="24"/>
          <w:szCs w:val="24"/>
        </w:rPr>
        <w:t>It also provides information about the methodology adopted to prepare the accounts and accounting policies followed.</w:t>
      </w:r>
    </w:p>
    <w:p w:rsidR="00382B36" w:rsidRPr="00E71156" w:rsidRDefault="00382B36" w:rsidP="00727E19">
      <w:pPr>
        <w:pStyle w:val="ListParagraph"/>
        <w:spacing w:line="360" w:lineRule="auto"/>
        <w:ind w:left="90"/>
        <w:jc w:val="both"/>
        <w:rPr>
          <w:rFonts w:ascii="Times New Roman" w:hAnsi="Times New Roman" w:cs="Times New Roman"/>
          <w:sz w:val="24"/>
          <w:szCs w:val="24"/>
        </w:rPr>
      </w:pPr>
      <w:r w:rsidRPr="00E71156">
        <w:rPr>
          <w:rFonts w:ascii="Times New Roman" w:hAnsi="Times New Roman" w:cs="Times New Roman"/>
          <w:sz w:val="24"/>
          <w:szCs w:val="24"/>
        </w:rPr>
        <w:t>Hon’ble Commission notified the KSERC (Terms and conditions for Determination of Tariff) Regulation</w:t>
      </w:r>
      <w:r w:rsidR="00D02326" w:rsidRPr="00E71156">
        <w:rPr>
          <w:rFonts w:ascii="Times New Roman" w:hAnsi="Times New Roman" w:cs="Times New Roman"/>
          <w:sz w:val="24"/>
          <w:szCs w:val="24"/>
        </w:rPr>
        <w:t>s,2021</w:t>
      </w:r>
      <w:r w:rsidR="00D337C1" w:rsidRPr="00E71156">
        <w:rPr>
          <w:rFonts w:ascii="Times New Roman" w:hAnsi="Times New Roman" w:cs="Times New Roman"/>
          <w:sz w:val="24"/>
          <w:szCs w:val="24"/>
        </w:rPr>
        <w:t xml:space="preserve"> </w:t>
      </w:r>
      <w:r w:rsidRPr="00E71156">
        <w:rPr>
          <w:rFonts w:ascii="Times New Roman" w:hAnsi="Times New Roman" w:cs="Times New Roman"/>
          <w:sz w:val="24"/>
          <w:szCs w:val="24"/>
        </w:rPr>
        <w:t xml:space="preserve">on </w:t>
      </w:r>
      <w:r w:rsidR="00D337C1" w:rsidRPr="00E71156">
        <w:rPr>
          <w:rFonts w:ascii="Times New Roman" w:hAnsi="Times New Roman" w:cs="Times New Roman"/>
          <w:sz w:val="24"/>
          <w:szCs w:val="24"/>
        </w:rPr>
        <w:t>16</w:t>
      </w:r>
      <w:r w:rsidRPr="00E71156">
        <w:rPr>
          <w:rFonts w:ascii="Times New Roman" w:hAnsi="Times New Roman" w:cs="Times New Roman"/>
          <w:sz w:val="24"/>
          <w:szCs w:val="24"/>
        </w:rPr>
        <w:t>.1</w:t>
      </w:r>
      <w:r w:rsidR="00D337C1" w:rsidRPr="00E71156">
        <w:rPr>
          <w:rFonts w:ascii="Times New Roman" w:hAnsi="Times New Roman" w:cs="Times New Roman"/>
          <w:sz w:val="24"/>
          <w:szCs w:val="24"/>
        </w:rPr>
        <w:t>1</w:t>
      </w:r>
      <w:r w:rsidRPr="00E71156">
        <w:rPr>
          <w:rFonts w:ascii="Times New Roman" w:hAnsi="Times New Roman" w:cs="Times New Roman"/>
          <w:sz w:val="24"/>
          <w:szCs w:val="24"/>
        </w:rPr>
        <w:t>.20</w:t>
      </w:r>
      <w:r w:rsidR="00D337C1" w:rsidRPr="00E71156">
        <w:rPr>
          <w:rFonts w:ascii="Times New Roman" w:hAnsi="Times New Roman" w:cs="Times New Roman"/>
          <w:sz w:val="24"/>
          <w:szCs w:val="24"/>
        </w:rPr>
        <w:t>21</w:t>
      </w:r>
      <w:r w:rsidRPr="00E71156">
        <w:rPr>
          <w:rFonts w:ascii="Times New Roman" w:hAnsi="Times New Roman" w:cs="Times New Roman"/>
          <w:sz w:val="24"/>
          <w:szCs w:val="24"/>
        </w:rPr>
        <w:t xml:space="preserve">, </w:t>
      </w:r>
      <w:r w:rsidR="00D02326" w:rsidRPr="00E71156">
        <w:rPr>
          <w:rFonts w:ascii="Times New Roman" w:hAnsi="Times New Roman" w:cs="Times New Roman"/>
          <w:sz w:val="24"/>
          <w:szCs w:val="24"/>
        </w:rPr>
        <w:t>applicable for the five</w:t>
      </w:r>
      <w:r w:rsidRPr="00E71156">
        <w:rPr>
          <w:rFonts w:ascii="Times New Roman" w:hAnsi="Times New Roman" w:cs="Times New Roman"/>
          <w:sz w:val="24"/>
          <w:szCs w:val="24"/>
        </w:rPr>
        <w:t xml:space="preserve">-year control period starting from FY </w:t>
      </w:r>
      <w:r w:rsidRPr="00E71156">
        <w:rPr>
          <w:rFonts w:ascii="Times New Roman" w:hAnsi="Times New Roman" w:cs="Times New Roman"/>
          <w:sz w:val="24"/>
          <w:szCs w:val="24"/>
        </w:rPr>
        <w:lastRenderedPageBreak/>
        <w:t>20</w:t>
      </w:r>
      <w:r w:rsidR="00D337C1" w:rsidRPr="00E71156">
        <w:rPr>
          <w:rFonts w:ascii="Times New Roman" w:hAnsi="Times New Roman" w:cs="Times New Roman"/>
          <w:sz w:val="24"/>
          <w:szCs w:val="24"/>
        </w:rPr>
        <w:t>22</w:t>
      </w:r>
      <w:r w:rsidRPr="00E71156">
        <w:rPr>
          <w:rFonts w:ascii="Times New Roman" w:hAnsi="Times New Roman" w:cs="Times New Roman"/>
          <w:sz w:val="24"/>
          <w:szCs w:val="24"/>
        </w:rPr>
        <w:t>-</w:t>
      </w:r>
      <w:r w:rsidR="00D337C1" w:rsidRPr="00E71156">
        <w:rPr>
          <w:rFonts w:ascii="Times New Roman" w:hAnsi="Times New Roman" w:cs="Times New Roman"/>
          <w:sz w:val="24"/>
          <w:szCs w:val="24"/>
        </w:rPr>
        <w:t>23</w:t>
      </w:r>
      <w:r w:rsidRPr="00E71156">
        <w:rPr>
          <w:rFonts w:ascii="Times New Roman" w:hAnsi="Times New Roman" w:cs="Times New Roman"/>
          <w:sz w:val="24"/>
          <w:szCs w:val="24"/>
        </w:rPr>
        <w:t>. The regulations contain a performance-based approval scheme along with a framework for sharing Gains and Losses and specifying the controllable and un-controllable factors.</w:t>
      </w:r>
    </w:p>
    <w:p w:rsidR="002D5E62" w:rsidRPr="00E71156" w:rsidRDefault="004116A7" w:rsidP="00727E19">
      <w:pPr>
        <w:pStyle w:val="ListParagraph"/>
        <w:spacing w:line="360" w:lineRule="auto"/>
        <w:ind w:left="90"/>
        <w:jc w:val="both"/>
        <w:rPr>
          <w:rFonts w:ascii="Times New Roman" w:hAnsi="Times New Roman" w:cs="Times New Roman"/>
          <w:sz w:val="24"/>
          <w:szCs w:val="24"/>
        </w:rPr>
      </w:pPr>
      <w:r w:rsidRPr="00E71156">
        <w:rPr>
          <w:rFonts w:ascii="Times New Roman" w:hAnsi="Times New Roman" w:cs="Times New Roman"/>
          <w:sz w:val="24"/>
          <w:szCs w:val="24"/>
        </w:rPr>
        <w:t>TCED had submitted MYT petition for the above-mentioned control period containing ARR &amp; ERC and capital investment plan for the f</w:t>
      </w:r>
      <w:r w:rsidR="00A740B7" w:rsidRPr="00E71156">
        <w:rPr>
          <w:rFonts w:ascii="Times New Roman" w:hAnsi="Times New Roman" w:cs="Times New Roman"/>
          <w:sz w:val="24"/>
          <w:szCs w:val="24"/>
        </w:rPr>
        <w:t>ive</w:t>
      </w:r>
      <w:r w:rsidRPr="00E71156">
        <w:rPr>
          <w:rFonts w:ascii="Times New Roman" w:hAnsi="Times New Roman" w:cs="Times New Roman"/>
          <w:sz w:val="24"/>
          <w:szCs w:val="24"/>
        </w:rPr>
        <w:t>-year control period from 2022-23 to 202</w:t>
      </w:r>
      <w:r w:rsidR="00A740B7" w:rsidRPr="00E71156">
        <w:rPr>
          <w:rFonts w:ascii="Times New Roman" w:hAnsi="Times New Roman" w:cs="Times New Roman"/>
          <w:sz w:val="24"/>
          <w:szCs w:val="24"/>
        </w:rPr>
        <w:t>6</w:t>
      </w:r>
      <w:r w:rsidRPr="00E71156">
        <w:rPr>
          <w:rFonts w:ascii="Times New Roman" w:hAnsi="Times New Roman" w:cs="Times New Roman"/>
          <w:sz w:val="24"/>
          <w:szCs w:val="24"/>
        </w:rPr>
        <w:t>-2</w:t>
      </w:r>
      <w:r w:rsidR="00A740B7" w:rsidRPr="00E71156">
        <w:rPr>
          <w:rFonts w:ascii="Times New Roman" w:hAnsi="Times New Roman" w:cs="Times New Roman"/>
          <w:sz w:val="24"/>
          <w:szCs w:val="24"/>
        </w:rPr>
        <w:t>7</w:t>
      </w:r>
      <w:r w:rsidRPr="00E71156">
        <w:rPr>
          <w:rFonts w:ascii="Times New Roman" w:hAnsi="Times New Roman" w:cs="Times New Roman"/>
          <w:sz w:val="24"/>
          <w:szCs w:val="24"/>
        </w:rPr>
        <w:t xml:space="preserve"> before the Hon’ble Commission on 28.01.2022, in full compliance with the MYT Regulations 2021</w:t>
      </w:r>
      <w:r w:rsidR="00D02326" w:rsidRPr="00E71156">
        <w:rPr>
          <w:rFonts w:ascii="Times New Roman" w:hAnsi="Times New Roman" w:cs="Times New Roman"/>
          <w:sz w:val="24"/>
          <w:szCs w:val="24"/>
        </w:rPr>
        <w:t xml:space="preserve"> and the petition was revised subsequent to the tariff revision order of the Hon’ble KSERC and filed on 13.01-2023. The public hearing was held on </w:t>
      </w:r>
      <w:r w:rsidR="002D2E12" w:rsidRPr="00E71156">
        <w:rPr>
          <w:rFonts w:ascii="Times New Roman" w:hAnsi="Times New Roman" w:cs="Times New Roman"/>
          <w:sz w:val="24"/>
          <w:szCs w:val="24"/>
        </w:rPr>
        <w:t xml:space="preserve">03.03.2023 </w:t>
      </w:r>
      <w:r w:rsidR="00A740B7" w:rsidRPr="00E71156">
        <w:rPr>
          <w:rFonts w:ascii="Times New Roman" w:hAnsi="Times New Roman" w:cs="Times New Roman"/>
          <w:sz w:val="24"/>
          <w:szCs w:val="24"/>
        </w:rPr>
        <w:t xml:space="preserve">and as per the daily order TCED further revised and filed the petition </w:t>
      </w:r>
      <w:r w:rsidR="002D2E12" w:rsidRPr="00E71156">
        <w:rPr>
          <w:rFonts w:ascii="Times New Roman" w:hAnsi="Times New Roman" w:cs="Times New Roman"/>
          <w:sz w:val="24"/>
          <w:szCs w:val="24"/>
        </w:rPr>
        <w:t xml:space="preserve">and </w:t>
      </w:r>
      <w:r w:rsidR="00A740B7" w:rsidRPr="00E71156">
        <w:rPr>
          <w:rFonts w:ascii="Times New Roman" w:hAnsi="Times New Roman" w:cs="Times New Roman"/>
          <w:sz w:val="24"/>
          <w:szCs w:val="24"/>
        </w:rPr>
        <w:t xml:space="preserve">on which public hearing </w:t>
      </w:r>
      <w:r w:rsidR="002D5E62" w:rsidRPr="00E71156">
        <w:rPr>
          <w:rFonts w:ascii="Times New Roman" w:hAnsi="Times New Roman" w:cs="Times New Roman"/>
          <w:sz w:val="24"/>
          <w:szCs w:val="24"/>
        </w:rPr>
        <w:t xml:space="preserve">was conducted </w:t>
      </w:r>
      <w:r w:rsidR="00A740B7" w:rsidRPr="00E71156">
        <w:rPr>
          <w:rFonts w:ascii="Times New Roman" w:hAnsi="Times New Roman" w:cs="Times New Roman"/>
          <w:sz w:val="24"/>
          <w:szCs w:val="24"/>
        </w:rPr>
        <w:t>on 05.10.2023</w:t>
      </w:r>
      <w:r w:rsidR="002614BA" w:rsidRPr="00E71156">
        <w:rPr>
          <w:rFonts w:ascii="Times New Roman" w:hAnsi="Times New Roman" w:cs="Times New Roman"/>
          <w:sz w:val="24"/>
          <w:szCs w:val="24"/>
        </w:rPr>
        <w:t xml:space="preserve">. </w:t>
      </w:r>
      <w:r w:rsidR="002D2E12" w:rsidRPr="00E71156">
        <w:rPr>
          <w:rFonts w:ascii="Times New Roman" w:hAnsi="Times New Roman" w:cs="Times New Roman"/>
          <w:sz w:val="24"/>
          <w:szCs w:val="24"/>
        </w:rPr>
        <w:t xml:space="preserve">And as per the direction on 12.10.2023, TCED submitted the projections based on the unaudited financials of FY 2022-23. </w:t>
      </w:r>
      <w:r w:rsidR="002D5E62" w:rsidRPr="00E71156">
        <w:rPr>
          <w:rFonts w:ascii="Times New Roman" w:hAnsi="Times New Roman" w:cs="Times New Roman"/>
          <w:sz w:val="24"/>
          <w:szCs w:val="24"/>
        </w:rPr>
        <w:t>The summary of the audited Annual statement of Accounts of</w:t>
      </w:r>
      <w:r w:rsidR="002D2E12" w:rsidRPr="00E71156">
        <w:rPr>
          <w:rFonts w:ascii="Times New Roman" w:hAnsi="Times New Roman" w:cs="Times New Roman"/>
          <w:sz w:val="24"/>
          <w:szCs w:val="24"/>
        </w:rPr>
        <w:t xml:space="preserve"> TCED for the year 2022-23 </w:t>
      </w:r>
      <w:r w:rsidR="002D5E62" w:rsidRPr="00E71156">
        <w:rPr>
          <w:rFonts w:ascii="Times New Roman" w:hAnsi="Times New Roman" w:cs="Times New Roman"/>
          <w:sz w:val="24"/>
          <w:szCs w:val="24"/>
        </w:rPr>
        <w:t>and the amount sought</w:t>
      </w:r>
      <w:r w:rsidR="00AB1401" w:rsidRPr="00E71156">
        <w:rPr>
          <w:rFonts w:ascii="Times New Roman" w:hAnsi="Times New Roman" w:cs="Times New Roman"/>
          <w:sz w:val="24"/>
          <w:szCs w:val="24"/>
        </w:rPr>
        <w:t xml:space="preserve"> </w:t>
      </w:r>
      <w:r w:rsidR="002D5E62" w:rsidRPr="00E71156">
        <w:rPr>
          <w:rFonts w:ascii="Times New Roman" w:hAnsi="Times New Roman" w:cs="Times New Roman"/>
          <w:sz w:val="24"/>
          <w:szCs w:val="24"/>
        </w:rPr>
        <w:t>for true up is fu</w:t>
      </w:r>
      <w:r w:rsidR="007B6952">
        <w:rPr>
          <w:rFonts w:ascii="Times New Roman" w:hAnsi="Times New Roman" w:cs="Times New Roman"/>
          <w:sz w:val="24"/>
          <w:szCs w:val="24"/>
        </w:rPr>
        <w:t>rnished in the</w:t>
      </w:r>
      <w:r w:rsidR="002D5E62" w:rsidRPr="00E71156">
        <w:rPr>
          <w:rFonts w:ascii="Times New Roman" w:hAnsi="Times New Roman" w:cs="Times New Roman"/>
          <w:sz w:val="24"/>
          <w:szCs w:val="24"/>
        </w:rPr>
        <w:t xml:space="preserve"> below</w:t>
      </w:r>
      <w:r w:rsidR="007B6952">
        <w:rPr>
          <w:rFonts w:ascii="Times New Roman" w:hAnsi="Times New Roman" w:cs="Times New Roman"/>
          <w:sz w:val="24"/>
          <w:szCs w:val="24"/>
        </w:rPr>
        <w:t xml:space="preserve"> table</w:t>
      </w:r>
      <w:r w:rsidR="002D5E62" w:rsidRPr="00E71156">
        <w:rPr>
          <w:rFonts w:ascii="Times New Roman" w:hAnsi="Times New Roman" w:cs="Times New Roman"/>
          <w:sz w:val="24"/>
          <w:szCs w:val="24"/>
        </w:rPr>
        <w:t xml:space="preserve">. The Auditors of </w:t>
      </w:r>
      <w:r w:rsidR="002614BA" w:rsidRPr="00E71156">
        <w:rPr>
          <w:rFonts w:ascii="Times New Roman" w:hAnsi="Times New Roman" w:cs="Times New Roman"/>
          <w:sz w:val="24"/>
          <w:szCs w:val="24"/>
        </w:rPr>
        <w:t>TCED</w:t>
      </w:r>
      <w:r w:rsidR="002D5E62" w:rsidRPr="00E71156">
        <w:rPr>
          <w:rFonts w:ascii="Times New Roman" w:hAnsi="Times New Roman" w:cs="Times New Roman"/>
          <w:sz w:val="24"/>
          <w:szCs w:val="24"/>
        </w:rPr>
        <w:t xml:space="preserve"> has conducted</w:t>
      </w:r>
      <w:r w:rsidR="002614BA" w:rsidRPr="00E71156">
        <w:rPr>
          <w:rFonts w:ascii="Times New Roman" w:hAnsi="Times New Roman" w:cs="Times New Roman"/>
          <w:sz w:val="24"/>
          <w:szCs w:val="24"/>
        </w:rPr>
        <w:t xml:space="preserve"> </w:t>
      </w:r>
      <w:r w:rsidR="002D5E62" w:rsidRPr="00E71156">
        <w:rPr>
          <w:rFonts w:ascii="Times New Roman" w:hAnsi="Times New Roman" w:cs="Times New Roman"/>
          <w:sz w:val="24"/>
          <w:szCs w:val="24"/>
        </w:rPr>
        <w:t>audit and issued certificate for the year 202</w:t>
      </w:r>
      <w:r w:rsidR="002614BA" w:rsidRPr="00E71156">
        <w:rPr>
          <w:rFonts w:ascii="Times New Roman" w:hAnsi="Times New Roman" w:cs="Times New Roman"/>
          <w:sz w:val="24"/>
          <w:szCs w:val="24"/>
        </w:rPr>
        <w:t>2</w:t>
      </w:r>
      <w:r w:rsidR="002D5E62" w:rsidRPr="00E71156">
        <w:rPr>
          <w:rFonts w:ascii="Times New Roman" w:hAnsi="Times New Roman" w:cs="Times New Roman"/>
          <w:sz w:val="24"/>
          <w:szCs w:val="24"/>
        </w:rPr>
        <w:t>-2</w:t>
      </w:r>
      <w:r w:rsidR="002614BA" w:rsidRPr="00E71156">
        <w:rPr>
          <w:rFonts w:ascii="Times New Roman" w:hAnsi="Times New Roman" w:cs="Times New Roman"/>
          <w:sz w:val="24"/>
          <w:szCs w:val="24"/>
        </w:rPr>
        <w:t>3</w:t>
      </w:r>
      <w:r w:rsidR="002D5E62" w:rsidRPr="00E71156">
        <w:rPr>
          <w:rFonts w:ascii="Times New Roman" w:hAnsi="Times New Roman" w:cs="Times New Roman"/>
          <w:sz w:val="24"/>
          <w:szCs w:val="24"/>
        </w:rPr>
        <w:t xml:space="preserve"> and a copy of the audited accounts is submitted</w:t>
      </w:r>
      <w:r w:rsidR="002614BA" w:rsidRPr="00E71156">
        <w:rPr>
          <w:rFonts w:ascii="Times New Roman" w:hAnsi="Times New Roman" w:cs="Times New Roman"/>
          <w:sz w:val="24"/>
          <w:szCs w:val="24"/>
        </w:rPr>
        <w:t xml:space="preserve"> </w:t>
      </w:r>
      <w:r w:rsidR="002D5E62" w:rsidRPr="00E71156">
        <w:rPr>
          <w:rFonts w:ascii="Times New Roman" w:hAnsi="Times New Roman" w:cs="Times New Roman"/>
          <w:sz w:val="24"/>
          <w:szCs w:val="24"/>
        </w:rPr>
        <w:t>separately along with this petition.</w:t>
      </w:r>
    </w:p>
    <w:p w:rsidR="00AB1401" w:rsidRPr="00E71156" w:rsidRDefault="00AB1401" w:rsidP="00727E19">
      <w:pPr>
        <w:pStyle w:val="ListParagraph"/>
        <w:spacing w:line="360" w:lineRule="auto"/>
        <w:ind w:left="90"/>
        <w:jc w:val="both"/>
        <w:rPr>
          <w:rFonts w:ascii="Times New Roman" w:hAnsi="Times New Roman" w:cs="Times New Roman"/>
          <w:sz w:val="24"/>
          <w:szCs w:val="24"/>
        </w:rPr>
      </w:pPr>
    </w:p>
    <w:p w:rsidR="00B81DB0" w:rsidRPr="00E71156" w:rsidRDefault="00851B8E" w:rsidP="00727E19">
      <w:pPr>
        <w:pStyle w:val="ListParagraph"/>
        <w:spacing w:line="360" w:lineRule="auto"/>
        <w:ind w:left="90"/>
        <w:jc w:val="both"/>
        <w:rPr>
          <w:rFonts w:ascii="Times New Roman" w:hAnsi="Times New Roman" w:cs="Times New Roman"/>
          <w:sz w:val="24"/>
          <w:szCs w:val="24"/>
        </w:rPr>
      </w:pPr>
      <w:r w:rsidRPr="00E71156">
        <w:rPr>
          <w:rFonts w:ascii="Times New Roman" w:hAnsi="Times New Roman" w:cs="Times New Roman"/>
          <w:sz w:val="24"/>
          <w:szCs w:val="24"/>
        </w:rPr>
        <w:t xml:space="preserve"> </w:t>
      </w:r>
    </w:p>
    <w:tbl>
      <w:tblPr>
        <w:tblStyle w:val="TableGrid"/>
        <w:tblW w:w="0" w:type="auto"/>
        <w:tblInd w:w="90" w:type="dxa"/>
        <w:tblLook w:val="04A0"/>
      </w:tblPr>
      <w:tblGrid>
        <w:gridCol w:w="727"/>
        <w:gridCol w:w="3169"/>
        <w:gridCol w:w="1949"/>
        <w:gridCol w:w="1949"/>
      </w:tblGrid>
      <w:tr w:rsidR="00525292" w:rsidRPr="00E71156" w:rsidTr="000D0E9F">
        <w:tc>
          <w:tcPr>
            <w:tcW w:w="727" w:type="dxa"/>
          </w:tcPr>
          <w:p w:rsidR="00525292" w:rsidRPr="00E71156" w:rsidRDefault="00525292" w:rsidP="00727E19">
            <w:p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No </w:t>
            </w:r>
          </w:p>
        </w:tc>
        <w:tc>
          <w:tcPr>
            <w:tcW w:w="3169" w:type="dxa"/>
          </w:tcPr>
          <w:p w:rsidR="00525292" w:rsidRPr="00E71156" w:rsidRDefault="00525292" w:rsidP="00727E19">
            <w:p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Particulars </w:t>
            </w:r>
          </w:p>
        </w:tc>
        <w:tc>
          <w:tcPr>
            <w:tcW w:w="1949" w:type="dxa"/>
          </w:tcPr>
          <w:p w:rsidR="00525292" w:rsidRPr="00E71156" w:rsidRDefault="00525292" w:rsidP="00A55241">
            <w:p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 </w:t>
            </w:r>
            <w:r w:rsidR="00A55241">
              <w:rPr>
                <w:rFonts w:ascii="Times New Roman" w:hAnsi="Times New Roman" w:cs="Times New Roman"/>
                <w:sz w:val="24"/>
                <w:szCs w:val="24"/>
              </w:rPr>
              <w:t>Projected</w:t>
            </w:r>
          </w:p>
        </w:tc>
        <w:tc>
          <w:tcPr>
            <w:tcW w:w="1949" w:type="dxa"/>
          </w:tcPr>
          <w:p w:rsidR="00525292" w:rsidRPr="00E71156" w:rsidRDefault="00525292" w:rsidP="00727E19">
            <w:p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Truing up</w:t>
            </w:r>
          </w:p>
        </w:tc>
      </w:tr>
      <w:tr w:rsidR="00525292" w:rsidRPr="00E71156" w:rsidTr="000D0E9F">
        <w:tc>
          <w:tcPr>
            <w:tcW w:w="727"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1</w:t>
            </w:r>
          </w:p>
        </w:tc>
        <w:tc>
          <w:tcPr>
            <w:tcW w:w="3169"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ARR</w:t>
            </w:r>
          </w:p>
        </w:tc>
        <w:tc>
          <w:tcPr>
            <w:tcW w:w="1949"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b/>
                <w:bCs/>
                <w:sz w:val="24"/>
                <w:szCs w:val="24"/>
              </w:rPr>
              <w:t xml:space="preserve">      13,252.13</w:t>
            </w:r>
          </w:p>
        </w:tc>
        <w:tc>
          <w:tcPr>
            <w:tcW w:w="1949" w:type="dxa"/>
          </w:tcPr>
          <w:p w:rsidR="00525292" w:rsidRPr="00E71156" w:rsidRDefault="00525292" w:rsidP="00A55241">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b/>
                <w:bCs/>
                <w:sz w:val="24"/>
                <w:szCs w:val="24"/>
              </w:rPr>
              <w:t xml:space="preserve">      13,2</w:t>
            </w:r>
            <w:r w:rsidR="00A55241">
              <w:rPr>
                <w:rFonts w:ascii="Times New Roman" w:hAnsi="Times New Roman" w:cs="Times New Roman"/>
                <w:b/>
                <w:bCs/>
                <w:sz w:val="24"/>
                <w:szCs w:val="24"/>
              </w:rPr>
              <w:t>51.65</w:t>
            </w:r>
          </w:p>
        </w:tc>
      </w:tr>
      <w:tr w:rsidR="00525292" w:rsidRPr="00E71156" w:rsidTr="000D0E9F">
        <w:tc>
          <w:tcPr>
            <w:tcW w:w="727"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2</w:t>
            </w:r>
          </w:p>
        </w:tc>
        <w:tc>
          <w:tcPr>
            <w:tcW w:w="3169"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ERC</w:t>
            </w:r>
          </w:p>
        </w:tc>
        <w:tc>
          <w:tcPr>
            <w:tcW w:w="1949"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b/>
                <w:bCs/>
                <w:sz w:val="24"/>
                <w:szCs w:val="24"/>
              </w:rPr>
              <w:t xml:space="preserve">      13,237.58</w:t>
            </w:r>
          </w:p>
        </w:tc>
        <w:tc>
          <w:tcPr>
            <w:tcW w:w="1949"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b/>
                <w:bCs/>
                <w:sz w:val="24"/>
                <w:szCs w:val="24"/>
              </w:rPr>
              <w:t xml:space="preserve">      13,237.58</w:t>
            </w:r>
          </w:p>
        </w:tc>
      </w:tr>
      <w:tr w:rsidR="00525292" w:rsidRPr="00E71156" w:rsidTr="000D0E9F">
        <w:tc>
          <w:tcPr>
            <w:tcW w:w="727"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3</w:t>
            </w:r>
          </w:p>
        </w:tc>
        <w:tc>
          <w:tcPr>
            <w:tcW w:w="3169" w:type="dxa"/>
          </w:tcPr>
          <w:p w:rsidR="00525292" w:rsidRPr="00E71156" w:rsidRDefault="00525292" w:rsidP="00727E19">
            <w:pPr>
              <w:pStyle w:val="ListParagraph"/>
              <w:spacing w:line="360" w:lineRule="auto"/>
              <w:ind w:left="0"/>
              <w:jc w:val="both"/>
              <w:rPr>
                <w:rFonts w:ascii="Times New Roman" w:hAnsi="Times New Roman" w:cs="Times New Roman"/>
                <w:b/>
                <w:sz w:val="24"/>
                <w:szCs w:val="24"/>
              </w:rPr>
            </w:pPr>
            <w:r w:rsidRPr="00E71156">
              <w:rPr>
                <w:rFonts w:ascii="Times New Roman" w:hAnsi="Times New Roman" w:cs="Times New Roman"/>
                <w:b/>
                <w:sz w:val="24"/>
                <w:szCs w:val="24"/>
              </w:rPr>
              <w:t>Revenue gap(1-2)</w:t>
            </w:r>
          </w:p>
        </w:tc>
        <w:tc>
          <w:tcPr>
            <w:tcW w:w="1949" w:type="dxa"/>
          </w:tcPr>
          <w:p w:rsidR="00525292" w:rsidRPr="00E71156" w:rsidRDefault="00525292"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b/>
                <w:bCs/>
                <w:sz w:val="24"/>
                <w:szCs w:val="24"/>
              </w:rPr>
              <w:t xml:space="preserve">           (14.55)</w:t>
            </w:r>
          </w:p>
        </w:tc>
        <w:tc>
          <w:tcPr>
            <w:tcW w:w="1949" w:type="dxa"/>
          </w:tcPr>
          <w:p w:rsidR="00525292" w:rsidRPr="00E71156" w:rsidRDefault="00525292" w:rsidP="00A55241">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b/>
                <w:bCs/>
                <w:sz w:val="24"/>
                <w:szCs w:val="24"/>
              </w:rPr>
              <w:t xml:space="preserve">        (</w:t>
            </w:r>
            <w:r w:rsidR="00A55241">
              <w:rPr>
                <w:rFonts w:ascii="Times New Roman" w:hAnsi="Times New Roman" w:cs="Times New Roman"/>
                <w:b/>
                <w:bCs/>
                <w:sz w:val="24"/>
                <w:szCs w:val="24"/>
              </w:rPr>
              <w:t>14</w:t>
            </w:r>
            <w:r w:rsidR="009A3189" w:rsidRPr="00E71156">
              <w:rPr>
                <w:rFonts w:ascii="Times New Roman" w:hAnsi="Times New Roman" w:cs="Times New Roman"/>
                <w:b/>
                <w:bCs/>
                <w:sz w:val="24"/>
                <w:szCs w:val="24"/>
              </w:rPr>
              <w:t>.</w:t>
            </w:r>
            <w:r w:rsidR="00A55241">
              <w:rPr>
                <w:rFonts w:ascii="Times New Roman" w:hAnsi="Times New Roman" w:cs="Times New Roman"/>
                <w:b/>
                <w:bCs/>
                <w:sz w:val="24"/>
                <w:szCs w:val="24"/>
              </w:rPr>
              <w:t>07</w:t>
            </w:r>
            <w:r w:rsidRPr="00E71156">
              <w:rPr>
                <w:rFonts w:ascii="Times New Roman" w:hAnsi="Times New Roman" w:cs="Times New Roman"/>
                <w:b/>
                <w:bCs/>
                <w:sz w:val="24"/>
                <w:szCs w:val="24"/>
              </w:rPr>
              <w:t>)</w:t>
            </w:r>
          </w:p>
        </w:tc>
      </w:tr>
    </w:tbl>
    <w:p w:rsidR="00AB1401" w:rsidRPr="00E71156" w:rsidRDefault="00AB1401" w:rsidP="00727E19">
      <w:pPr>
        <w:pStyle w:val="ListParagraph"/>
        <w:spacing w:line="360" w:lineRule="auto"/>
        <w:ind w:left="90"/>
        <w:jc w:val="both"/>
        <w:rPr>
          <w:rFonts w:ascii="Times New Roman" w:hAnsi="Times New Roman" w:cs="Times New Roman"/>
          <w:sz w:val="24"/>
          <w:szCs w:val="24"/>
        </w:rPr>
      </w:pPr>
    </w:p>
    <w:p w:rsidR="0058024E" w:rsidRPr="00E71156" w:rsidRDefault="0058024E" w:rsidP="00727E19">
      <w:pPr>
        <w:pStyle w:val="ListParagraph"/>
        <w:spacing w:line="360" w:lineRule="auto"/>
        <w:ind w:left="840"/>
        <w:jc w:val="both"/>
        <w:rPr>
          <w:rFonts w:ascii="Times New Roman" w:hAnsi="Times New Roman" w:cs="Times New Roman"/>
          <w:b/>
          <w:sz w:val="24"/>
          <w:szCs w:val="24"/>
        </w:rPr>
      </w:pPr>
    </w:p>
    <w:p w:rsidR="00E71156" w:rsidRPr="00E71156" w:rsidRDefault="00E71156" w:rsidP="00525292">
      <w:pPr>
        <w:pStyle w:val="ListParagraph"/>
        <w:spacing w:line="360" w:lineRule="auto"/>
        <w:ind w:left="840"/>
        <w:jc w:val="both"/>
        <w:rPr>
          <w:rFonts w:ascii="Times New Roman" w:hAnsi="Times New Roman" w:cs="Times New Roman"/>
          <w:b/>
          <w:sz w:val="24"/>
          <w:szCs w:val="24"/>
        </w:rPr>
      </w:pPr>
    </w:p>
    <w:p w:rsidR="00525292" w:rsidRPr="00E71156" w:rsidRDefault="00525292" w:rsidP="00525292">
      <w:pPr>
        <w:pStyle w:val="ListParagraph"/>
        <w:spacing w:line="360" w:lineRule="auto"/>
        <w:ind w:left="840"/>
        <w:jc w:val="both"/>
        <w:rPr>
          <w:rFonts w:ascii="Times New Roman" w:hAnsi="Times New Roman" w:cs="Times New Roman"/>
          <w:b/>
          <w:sz w:val="24"/>
          <w:szCs w:val="24"/>
        </w:rPr>
      </w:pPr>
    </w:p>
    <w:p w:rsidR="00345633" w:rsidRPr="00E71156" w:rsidRDefault="00EC1CF8" w:rsidP="00727E19">
      <w:pPr>
        <w:pStyle w:val="ListParagraph"/>
        <w:numPr>
          <w:ilvl w:val="0"/>
          <w:numId w:val="2"/>
        </w:numPr>
        <w:spacing w:line="360" w:lineRule="auto"/>
        <w:jc w:val="both"/>
        <w:rPr>
          <w:rFonts w:ascii="Times New Roman" w:hAnsi="Times New Roman" w:cs="Times New Roman"/>
          <w:b/>
          <w:sz w:val="24"/>
          <w:szCs w:val="24"/>
        </w:rPr>
      </w:pPr>
      <w:r w:rsidRPr="00E71156">
        <w:rPr>
          <w:rFonts w:ascii="Times New Roman" w:hAnsi="Times New Roman" w:cs="Times New Roman"/>
          <w:b/>
          <w:sz w:val="24"/>
          <w:szCs w:val="24"/>
        </w:rPr>
        <w:t>TCED Distribution Network</w:t>
      </w:r>
    </w:p>
    <w:p w:rsidR="00345633" w:rsidRDefault="00AF75E8" w:rsidP="00727E19">
      <w:pPr>
        <w:pStyle w:val="ListParagraph"/>
        <w:spacing w:line="360" w:lineRule="auto"/>
        <w:ind w:left="90"/>
        <w:jc w:val="both"/>
        <w:rPr>
          <w:rFonts w:ascii="Times New Roman" w:hAnsi="Times New Roman" w:cs="Times New Roman"/>
          <w:sz w:val="24"/>
          <w:szCs w:val="24"/>
        </w:rPr>
      </w:pPr>
      <w:r w:rsidRPr="00E71156">
        <w:rPr>
          <w:rFonts w:ascii="Times New Roman" w:hAnsi="Times New Roman" w:cs="Times New Roman"/>
          <w:sz w:val="24"/>
          <w:szCs w:val="24"/>
        </w:rPr>
        <w:t>TCED supplies electricity to 41831 consumers. There are about 22526 domestic consumers, 18340 commercial/non domestic consumers, 486 industrial consumers, 187 agricultural consumers and 292 street lights. The key statistics of distribution network is given below:</w:t>
      </w:r>
    </w:p>
    <w:p w:rsidR="00B01148" w:rsidRPr="00E71156" w:rsidRDefault="00B01148" w:rsidP="00727E19">
      <w:pPr>
        <w:pStyle w:val="ListParagraph"/>
        <w:spacing w:line="360" w:lineRule="auto"/>
        <w:ind w:left="90"/>
        <w:jc w:val="both"/>
        <w:rPr>
          <w:rFonts w:ascii="Times New Roman" w:hAnsi="Times New Roman" w:cs="Times New Roman"/>
          <w:sz w:val="24"/>
          <w:szCs w:val="24"/>
        </w:rPr>
      </w:pPr>
    </w:p>
    <w:tbl>
      <w:tblPr>
        <w:tblStyle w:val="TableGrid"/>
        <w:tblW w:w="0" w:type="auto"/>
        <w:tblInd w:w="90" w:type="dxa"/>
        <w:tblLook w:val="04A0"/>
      </w:tblPr>
      <w:tblGrid>
        <w:gridCol w:w="4879"/>
        <w:gridCol w:w="4864"/>
      </w:tblGrid>
      <w:tr w:rsidR="00F343BF" w:rsidRPr="00E71156" w:rsidTr="00F4209B">
        <w:tc>
          <w:tcPr>
            <w:tcW w:w="9743" w:type="dxa"/>
            <w:gridSpan w:val="2"/>
          </w:tcPr>
          <w:p w:rsidR="00F343BF" w:rsidRPr="00E71156" w:rsidRDefault="00F343BF" w:rsidP="00727E19">
            <w:pPr>
              <w:pStyle w:val="ListParagraph"/>
              <w:spacing w:line="360" w:lineRule="auto"/>
              <w:ind w:left="0"/>
              <w:jc w:val="both"/>
              <w:rPr>
                <w:rFonts w:ascii="Times New Roman" w:hAnsi="Times New Roman" w:cs="Times New Roman"/>
                <w:b/>
                <w:sz w:val="24"/>
                <w:szCs w:val="24"/>
              </w:rPr>
            </w:pPr>
            <w:r w:rsidRPr="00E71156">
              <w:rPr>
                <w:rFonts w:ascii="Times New Roman" w:hAnsi="Times New Roman" w:cs="Times New Roman"/>
                <w:b/>
                <w:sz w:val="24"/>
                <w:szCs w:val="24"/>
              </w:rPr>
              <w:lastRenderedPageBreak/>
              <w:t>Statistics of TCED Distribution Network as on 31.03.202</w:t>
            </w:r>
            <w:r w:rsidR="00ED4EBA" w:rsidRPr="00E71156">
              <w:rPr>
                <w:rFonts w:ascii="Times New Roman" w:hAnsi="Times New Roman" w:cs="Times New Roman"/>
                <w:b/>
                <w:sz w:val="24"/>
                <w:szCs w:val="24"/>
              </w:rPr>
              <w:t>3</w:t>
            </w:r>
          </w:p>
        </w:tc>
      </w:tr>
      <w:tr w:rsidR="00D8202B" w:rsidRPr="00E71156" w:rsidTr="00F343BF">
        <w:tc>
          <w:tcPr>
            <w:tcW w:w="4879"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Area Sq.km.</w:t>
            </w:r>
          </w:p>
        </w:tc>
        <w:tc>
          <w:tcPr>
            <w:tcW w:w="4864"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12.65</w:t>
            </w:r>
          </w:p>
        </w:tc>
      </w:tr>
      <w:tr w:rsidR="00D8202B" w:rsidRPr="00E71156" w:rsidTr="00F343BF">
        <w:tc>
          <w:tcPr>
            <w:tcW w:w="4879"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Electrical Section Offices</w:t>
            </w:r>
          </w:p>
        </w:tc>
        <w:tc>
          <w:tcPr>
            <w:tcW w:w="4864"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4</w:t>
            </w:r>
          </w:p>
        </w:tc>
      </w:tr>
      <w:tr w:rsidR="00D8202B" w:rsidRPr="00E71156" w:rsidTr="00F343BF">
        <w:tc>
          <w:tcPr>
            <w:tcW w:w="4879"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Consumers (Nos)</w:t>
            </w:r>
          </w:p>
        </w:tc>
        <w:tc>
          <w:tcPr>
            <w:tcW w:w="4864"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41831</w:t>
            </w:r>
          </w:p>
        </w:tc>
      </w:tr>
      <w:tr w:rsidR="00D8202B" w:rsidRPr="00E71156" w:rsidTr="00F343BF">
        <w:tc>
          <w:tcPr>
            <w:tcW w:w="4879"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Distribution transformers (Nos)</w:t>
            </w:r>
          </w:p>
        </w:tc>
        <w:tc>
          <w:tcPr>
            <w:tcW w:w="4864"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598</w:t>
            </w:r>
          </w:p>
        </w:tc>
      </w:tr>
      <w:tr w:rsidR="00D8202B" w:rsidRPr="00E71156" w:rsidTr="00F343BF">
        <w:tc>
          <w:tcPr>
            <w:tcW w:w="4879" w:type="dxa"/>
          </w:tcPr>
          <w:p w:rsidR="00D8202B" w:rsidRPr="00E71156" w:rsidRDefault="0032468D"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HT lines (</w:t>
            </w:r>
            <w:r w:rsidR="00F343BF" w:rsidRPr="00E71156">
              <w:rPr>
                <w:rFonts w:ascii="Times New Roman" w:hAnsi="Times New Roman" w:cs="Times New Roman"/>
                <w:sz w:val="24"/>
                <w:szCs w:val="24"/>
              </w:rPr>
              <w:t xml:space="preserve"> Kms)</w:t>
            </w:r>
          </w:p>
        </w:tc>
        <w:tc>
          <w:tcPr>
            <w:tcW w:w="4864" w:type="dxa"/>
          </w:tcPr>
          <w:p w:rsidR="00D8202B" w:rsidRPr="00E71156" w:rsidRDefault="0032468D"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111.63</w:t>
            </w:r>
          </w:p>
        </w:tc>
      </w:tr>
      <w:tr w:rsidR="00D8202B" w:rsidRPr="00E71156" w:rsidTr="00F343BF">
        <w:tc>
          <w:tcPr>
            <w:tcW w:w="4879"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LT lines (Kms)</w:t>
            </w:r>
          </w:p>
        </w:tc>
        <w:tc>
          <w:tcPr>
            <w:tcW w:w="4864" w:type="dxa"/>
          </w:tcPr>
          <w:p w:rsidR="00D8202B" w:rsidRPr="00E71156" w:rsidRDefault="0032468D"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261.58</w:t>
            </w:r>
          </w:p>
        </w:tc>
      </w:tr>
      <w:tr w:rsidR="00D8202B" w:rsidRPr="00E71156" w:rsidTr="00F343BF">
        <w:tc>
          <w:tcPr>
            <w:tcW w:w="4879" w:type="dxa"/>
          </w:tcPr>
          <w:p w:rsidR="00F343BF"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Energy purchase</w:t>
            </w:r>
          </w:p>
        </w:tc>
        <w:tc>
          <w:tcPr>
            <w:tcW w:w="4864" w:type="dxa"/>
          </w:tcPr>
          <w:p w:rsidR="00D8202B" w:rsidRPr="00E71156" w:rsidRDefault="00F4209B"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15</w:t>
            </w:r>
            <w:r w:rsidR="00063C01" w:rsidRPr="00E71156">
              <w:rPr>
                <w:rFonts w:ascii="Times New Roman" w:hAnsi="Times New Roman" w:cs="Times New Roman"/>
                <w:sz w:val="24"/>
                <w:szCs w:val="24"/>
              </w:rPr>
              <w:t>8.6</w:t>
            </w:r>
            <w:r w:rsidRPr="00E71156">
              <w:rPr>
                <w:rFonts w:ascii="Times New Roman" w:hAnsi="Times New Roman" w:cs="Times New Roman"/>
                <w:sz w:val="24"/>
                <w:szCs w:val="24"/>
              </w:rPr>
              <w:t>1</w:t>
            </w:r>
          </w:p>
        </w:tc>
      </w:tr>
      <w:tr w:rsidR="00D8202B" w:rsidRPr="00E71156" w:rsidTr="00F343BF">
        <w:tc>
          <w:tcPr>
            <w:tcW w:w="4879" w:type="dxa"/>
          </w:tcPr>
          <w:p w:rsidR="00D8202B" w:rsidRPr="00E71156" w:rsidRDefault="00F343B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Energy sale</w:t>
            </w:r>
          </w:p>
        </w:tc>
        <w:tc>
          <w:tcPr>
            <w:tcW w:w="4864" w:type="dxa"/>
          </w:tcPr>
          <w:p w:rsidR="00D8202B" w:rsidRPr="00E71156" w:rsidRDefault="00063C01"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148.36</w:t>
            </w:r>
          </w:p>
        </w:tc>
      </w:tr>
      <w:tr w:rsidR="00D8202B" w:rsidRPr="00E71156" w:rsidTr="00F343BF">
        <w:tc>
          <w:tcPr>
            <w:tcW w:w="4879" w:type="dxa"/>
          </w:tcPr>
          <w:p w:rsidR="00D8202B" w:rsidRPr="00E71156" w:rsidRDefault="0032468D"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T&amp;D loss in %</w:t>
            </w:r>
          </w:p>
        </w:tc>
        <w:tc>
          <w:tcPr>
            <w:tcW w:w="4864" w:type="dxa"/>
          </w:tcPr>
          <w:p w:rsidR="00D8202B" w:rsidRPr="00E71156" w:rsidRDefault="00063C01"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7.08%</w:t>
            </w:r>
          </w:p>
        </w:tc>
      </w:tr>
      <w:tr w:rsidR="0032468D" w:rsidRPr="00E71156" w:rsidTr="00F343BF">
        <w:tc>
          <w:tcPr>
            <w:tcW w:w="4879" w:type="dxa"/>
          </w:tcPr>
          <w:p w:rsidR="0032468D" w:rsidRPr="00E71156" w:rsidRDefault="0032468D" w:rsidP="00727E19">
            <w:pPr>
              <w:pStyle w:val="ListParagraph"/>
              <w:spacing w:after="120"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AT&amp;C loss in % as per CEA methodology</w:t>
            </w:r>
          </w:p>
        </w:tc>
        <w:tc>
          <w:tcPr>
            <w:tcW w:w="4864" w:type="dxa"/>
          </w:tcPr>
          <w:p w:rsidR="0032468D" w:rsidRPr="00E71156" w:rsidRDefault="0016171F" w:rsidP="00727E19">
            <w:pPr>
              <w:pStyle w:val="ListParagraph"/>
              <w:spacing w:line="360" w:lineRule="auto"/>
              <w:ind w:left="0"/>
              <w:jc w:val="both"/>
              <w:rPr>
                <w:rFonts w:ascii="Times New Roman" w:hAnsi="Times New Roman" w:cs="Times New Roman"/>
                <w:sz w:val="24"/>
                <w:szCs w:val="24"/>
              </w:rPr>
            </w:pPr>
            <w:r w:rsidRPr="00E71156">
              <w:rPr>
                <w:rFonts w:ascii="Times New Roman" w:hAnsi="Times New Roman" w:cs="Times New Roman"/>
                <w:sz w:val="24"/>
                <w:szCs w:val="24"/>
              </w:rPr>
              <w:t>9.53</w:t>
            </w:r>
            <w:r w:rsidR="00063C01" w:rsidRPr="00E71156">
              <w:rPr>
                <w:rFonts w:ascii="Times New Roman" w:hAnsi="Times New Roman" w:cs="Times New Roman"/>
                <w:sz w:val="24"/>
                <w:szCs w:val="24"/>
              </w:rPr>
              <w:t>%</w:t>
            </w:r>
          </w:p>
        </w:tc>
      </w:tr>
    </w:tbl>
    <w:p w:rsidR="00D8202B" w:rsidRDefault="00D8202B" w:rsidP="00727E19">
      <w:pPr>
        <w:pStyle w:val="ListParagraph"/>
        <w:spacing w:line="360" w:lineRule="auto"/>
        <w:ind w:left="90"/>
        <w:jc w:val="both"/>
        <w:rPr>
          <w:rFonts w:ascii="Times New Roman" w:hAnsi="Times New Roman" w:cs="Times New Roman"/>
          <w:sz w:val="24"/>
          <w:szCs w:val="24"/>
        </w:rPr>
      </w:pPr>
    </w:p>
    <w:p w:rsidR="00E71156" w:rsidRDefault="00E71156" w:rsidP="00727E19">
      <w:pPr>
        <w:pStyle w:val="ListParagraph"/>
        <w:spacing w:line="360" w:lineRule="auto"/>
        <w:ind w:left="90"/>
        <w:jc w:val="both"/>
        <w:rPr>
          <w:rFonts w:ascii="Times New Roman" w:hAnsi="Times New Roman" w:cs="Times New Roman"/>
          <w:sz w:val="24"/>
          <w:szCs w:val="24"/>
        </w:rPr>
      </w:pPr>
    </w:p>
    <w:p w:rsidR="00E71156" w:rsidRDefault="00E71156" w:rsidP="00727E19">
      <w:pPr>
        <w:pStyle w:val="ListParagraph"/>
        <w:spacing w:line="360" w:lineRule="auto"/>
        <w:ind w:left="90"/>
        <w:jc w:val="both"/>
        <w:rPr>
          <w:rFonts w:ascii="Times New Roman" w:hAnsi="Times New Roman" w:cs="Times New Roman"/>
          <w:sz w:val="24"/>
          <w:szCs w:val="24"/>
        </w:rPr>
      </w:pPr>
    </w:p>
    <w:p w:rsidR="00E66AD5" w:rsidRDefault="00E66AD5" w:rsidP="00727E19">
      <w:pPr>
        <w:pStyle w:val="ListParagraph"/>
        <w:spacing w:line="360" w:lineRule="auto"/>
        <w:ind w:left="90"/>
        <w:jc w:val="both"/>
        <w:rPr>
          <w:rFonts w:ascii="Times New Roman" w:hAnsi="Times New Roman" w:cs="Times New Roman"/>
          <w:sz w:val="24"/>
          <w:szCs w:val="24"/>
        </w:rPr>
      </w:pPr>
    </w:p>
    <w:p w:rsidR="00E66AD5" w:rsidRDefault="00E66AD5" w:rsidP="00727E19">
      <w:pPr>
        <w:pStyle w:val="ListParagraph"/>
        <w:spacing w:line="360" w:lineRule="auto"/>
        <w:ind w:left="90"/>
        <w:jc w:val="both"/>
        <w:rPr>
          <w:rFonts w:ascii="Times New Roman" w:hAnsi="Times New Roman" w:cs="Times New Roman"/>
          <w:sz w:val="24"/>
          <w:szCs w:val="24"/>
        </w:rPr>
      </w:pPr>
    </w:p>
    <w:p w:rsidR="00E66AD5" w:rsidRDefault="00E66AD5" w:rsidP="00727E19">
      <w:pPr>
        <w:pStyle w:val="ListParagraph"/>
        <w:spacing w:line="360" w:lineRule="auto"/>
        <w:ind w:left="90"/>
        <w:jc w:val="both"/>
        <w:rPr>
          <w:rFonts w:ascii="Times New Roman" w:hAnsi="Times New Roman" w:cs="Times New Roman"/>
          <w:sz w:val="24"/>
          <w:szCs w:val="24"/>
        </w:rPr>
      </w:pPr>
    </w:p>
    <w:p w:rsidR="00B01148" w:rsidRDefault="00B01148" w:rsidP="00727E19">
      <w:pPr>
        <w:pStyle w:val="ListParagraph"/>
        <w:spacing w:line="360" w:lineRule="auto"/>
        <w:ind w:left="90"/>
        <w:jc w:val="both"/>
        <w:rPr>
          <w:rFonts w:ascii="Times New Roman" w:hAnsi="Times New Roman" w:cs="Times New Roman"/>
          <w:sz w:val="24"/>
          <w:szCs w:val="24"/>
        </w:rPr>
      </w:pPr>
    </w:p>
    <w:p w:rsidR="004B7892" w:rsidRPr="00E71156" w:rsidRDefault="009750E1" w:rsidP="009750E1">
      <w:pPr>
        <w:pStyle w:val="ListParagraph"/>
        <w:numPr>
          <w:ilvl w:val="0"/>
          <w:numId w:val="2"/>
        </w:numPr>
        <w:spacing w:line="360" w:lineRule="auto"/>
        <w:jc w:val="both"/>
        <w:rPr>
          <w:rFonts w:ascii="Times New Roman" w:hAnsi="Times New Roman" w:cs="Times New Roman"/>
          <w:b/>
          <w:bCs/>
          <w:sz w:val="24"/>
          <w:szCs w:val="24"/>
        </w:rPr>
      </w:pPr>
      <w:r w:rsidRPr="00E71156">
        <w:rPr>
          <w:rFonts w:ascii="Times New Roman" w:hAnsi="Times New Roman" w:cs="Times New Roman"/>
          <w:b/>
          <w:bCs/>
          <w:sz w:val="24"/>
          <w:szCs w:val="24"/>
        </w:rPr>
        <w:t>Energy Sales &amp; Loss Trajectories</w:t>
      </w:r>
    </w:p>
    <w:p w:rsidR="004B7892" w:rsidRPr="00E71156" w:rsidRDefault="004B7892" w:rsidP="00727E19">
      <w:pPr>
        <w:pStyle w:val="ListParagraph"/>
        <w:numPr>
          <w:ilvl w:val="1"/>
          <w:numId w:val="5"/>
        </w:numPr>
        <w:spacing w:line="360" w:lineRule="auto"/>
        <w:jc w:val="both"/>
        <w:rPr>
          <w:rFonts w:ascii="Times New Roman" w:hAnsi="Times New Roman" w:cs="Times New Roman"/>
          <w:b/>
          <w:bCs/>
          <w:sz w:val="24"/>
          <w:szCs w:val="24"/>
        </w:rPr>
      </w:pPr>
      <w:r w:rsidRPr="00E71156">
        <w:rPr>
          <w:rFonts w:ascii="Times New Roman" w:hAnsi="Times New Roman" w:cs="Times New Roman"/>
          <w:b/>
          <w:bCs/>
          <w:sz w:val="24"/>
          <w:szCs w:val="24"/>
        </w:rPr>
        <w:t>Energy Sales for 2022-23:</w:t>
      </w:r>
    </w:p>
    <w:p w:rsidR="004B7892" w:rsidRPr="00E71156" w:rsidRDefault="004B7892" w:rsidP="00727E19">
      <w:pPr>
        <w:pStyle w:val="ListParagraph"/>
        <w:spacing w:line="360" w:lineRule="auto"/>
        <w:ind w:left="90"/>
        <w:jc w:val="both"/>
        <w:rPr>
          <w:rFonts w:ascii="Times New Roman" w:hAnsi="Times New Roman" w:cs="Times New Roman"/>
          <w:sz w:val="24"/>
          <w:szCs w:val="24"/>
        </w:rPr>
      </w:pPr>
      <w:r w:rsidRPr="00E71156">
        <w:rPr>
          <w:rFonts w:ascii="Times New Roman" w:hAnsi="Times New Roman" w:cs="Times New Roman"/>
          <w:sz w:val="24"/>
          <w:szCs w:val="24"/>
        </w:rPr>
        <w:t xml:space="preserve">Actual energy sale of TCED for FY 2022-23 was </w:t>
      </w:r>
      <w:r w:rsidR="0016171F" w:rsidRPr="00E71156">
        <w:rPr>
          <w:rFonts w:ascii="Times New Roman" w:hAnsi="Times New Roman" w:cs="Times New Roman"/>
          <w:sz w:val="24"/>
          <w:szCs w:val="24"/>
        </w:rPr>
        <w:t xml:space="preserve">148.36 </w:t>
      </w:r>
      <w:r w:rsidRPr="00E71156">
        <w:rPr>
          <w:rFonts w:ascii="Times New Roman" w:hAnsi="Times New Roman" w:cs="Times New Roman"/>
          <w:sz w:val="24"/>
          <w:szCs w:val="24"/>
        </w:rPr>
        <w:t>MU. The category wise energy sale to consumers of TCED is given in table below.</w:t>
      </w:r>
    </w:p>
    <w:p w:rsidR="00525292" w:rsidRDefault="00525292" w:rsidP="00727E19">
      <w:pPr>
        <w:pStyle w:val="ListParagraph"/>
        <w:spacing w:line="360" w:lineRule="auto"/>
        <w:ind w:left="90"/>
        <w:jc w:val="both"/>
        <w:rPr>
          <w:rFonts w:ascii="Times New Roman" w:hAnsi="Times New Roman" w:cs="Times New Roman"/>
          <w:sz w:val="24"/>
          <w:szCs w:val="24"/>
        </w:rPr>
      </w:pPr>
    </w:p>
    <w:p w:rsidR="00ED66C3" w:rsidRDefault="00ED66C3" w:rsidP="00727E19">
      <w:pPr>
        <w:pStyle w:val="ListParagraph"/>
        <w:spacing w:line="360" w:lineRule="auto"/>
        <w:ind w:left="90"/>
        <w:jc w:val="both"/>
        <w:rPr>
          <w:rFonts w:ascii="Times New Roman" w:hAnsi="Times New Roman" w:cs="Times New Roman"/>
          <w:sz w:val="24"/>
          <w:szCs w:val="24"/>
        </w:rPr>
      </w:pPr>
    </w:p>
    <w:p w:rsidR="00E71156" w:rsidRPr="00E71156" w:rsidRDefault="00E71156" w:rsidP="00727E19">
      <w:pPr>
        <w:pStyle w:val="ListParagraph"/>
        <w:spacing w:line="360" w:lineRule="auto"/>
        <w:ind w:left="90"/>
        <w:jc w:val="both"/>
        <w:rPr>
          <w:rFonts w:ascii="Times New Roman" w:hAnsi="Times New Roman" w:cs="Times New Roman"/>
          <w:sz w:val="24"/>
          <w:szCs w:val="24"/>
        </w:rPr>
      </w:pPr>
    </w:p>
    <w:tbl>
      <w:tblPr>
        <w:tblW w:w="0" w:type="auto"/>
        <w:tblLook w:val="04A0"/>
      </w:tblPr>
      <w:tblGrid>
        <w:gridCol w:w="2012"/>
        <w:gridCol w:w="1916"/>
        <w:gridCol w:w="2541"/>
        <w:gridCol w:w="1141"/>
      </w:tblGrid>
      <w:tr w:rsidR="005B1D93" w:rsidRPr="00E71156" w:rsidTr="00B01148">
        <w:trPr>
          <w:trHeight w:val="284"/>
        </w:trPr>
        <w:tc>
          <w:tcPr>
            <w:tcW w:w="0" w:type="auto"/>
            <w:gridSpan w:val="4"/>
            <w:tcBorders>
              <w:top w:val="single" w:sz="8" w:space="0" w:color="auto"/>
              <w:left w:val="single" w:sz="4" w:space="0" w:color="auto"/>
              <w:bottom w:val="single" w:sz="4" w:space="0" w:color="auto"/>
              <w:right w:val="single" w:sz="4" w:space="0" w:color="auto"/>
            </w:tcBorders>
            <w:shd w:val="clear" w:color="000000" w:fill="FCD5B4"/>
            <w:vAlign w:val="center"/>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hAnsi="Times New Roman" w:cs="Times New Roman"/>
                <w:b/>
                <w:bCs/>
                <w:sz w:val="18"/>
                <w:szCs w:val="18"/>
              </w:rPr>
              <w:lastRenderedPageBreak/>
              <w:t xml:space="preserve"> Energy sales details for the year 2022-23</w:t>
            </w:r>
          </w:p>
        </w:tc>
      </w:tr>
      <w:tr w:rsidR="005B1D93" w:rsidRPr="00E71156" w:rsidTr="00B01148">
        <w:trPr>
          <w:trHeight w:val="284"/>
        </w:trPr>
        <w:tc>
          <w:tcPr>
            <w:tcW w:w="0" w:type="auto"/>
            <w:tcBorders>
              <w:top w:val="single" w:sz="8" w:space="0" w:color="auto"/>
              <w:left w:val="single" w:sz="4" w:space="0" w:color="auto"/>
              <w:bottom w:val="single" w:sz="4" w:space="0" w:color="auto"/>
              <w:right w:val="single" w:sz="4" w:space="0" w:color="auto"/>
            </w:tcBorders>
            <w:shd w:val="clear" w:color="000000" w:fill="FCD5B4"/>
            <w:hideMark/>
          </w:tcPr>
          <w:p w:rsidR="005B1D93" w:rsidRPr="009A66E3" w:rsidRDefault="005B1D93" w:rsidP="00727E19">
            <w:pPr>
              <w:pStyle w:val="Default"/>
              <w:spacing w:line="360" w:lineRule="auto"/>
              <w:jc w:val="both"/>
              <w:rPr>
                <w:rFonts w:ascii="Times New Roman" w:hAnsi="Times New Roman" w:cs="Times New Roman"/>
                <w:sz w:val="18"/>
                <w:szCs w:val="18"/>
              </w:rPr>
            </w:pPr>
            <w:r w:rsidRPr="009A66E3">
              <w:rPr>
                <w:rFonts w:ascii="Times New Roman" w:hAnsi="Times New Roman" w:cs="Times New Roman"/>
                <w:b/>
                <w:bCs/>
                <w:sz w:val="18"/>
                <w:szCs w:val="18"/>
              </w:rPr>
              <w:t xml:space="preserve">Consumption Category </w:t>
            </w:r>
          </w:p>
        </w:tc>
        <w:tc>
          <w:tcPr>
            <w:tcW w:w="0" w:type="auto"/>
            <w:tcBorders>
              <w:top w:val="single" w:sz="8" w:space="0" w:color="auto"/>
              <w:left w:val="nil"/>
              <w:bottom w:val="single" w:sz="4" w:space="0" w:color="auto"/>
              <w:right w:val="single" w:sz="4" w:space="0" w:color="auto"/>
            </w:tcBorders>
            <w:shd w:val="clear" w:color="000000" w:fill="FCD5B4"/>
            <w:hideMark/>
          </w:tcPr>
          <w:p w:rsidR="005B1D93" w:rsidRPr="009A66E3" w:rsidRDefault="005B1D93" w:rsidP="00727E19">
            <w:pPr>
              <w:pStyle w:val="Default"/>
              <w:spacing w:line="360" w:lineRule="auto"/>
              <w:jc w:val="both"/>
              <w:rPr>
                <w:rFonts w:ascii="Times New Roman" w:hAnsi="Times New Roman" w:cs="Times New Roman"/>
                <w:sz w:val="18"/>
                <w:szCs w:val="18"/>
              </w:rPr>
            </w:pPr>
            <w:r w:rsidRPr="009A66E3">
              <w:rPr>
                <w:rFonts w:ascii="Times New Roman" w:hAnsi="Times New Roman" w:cs="Times New Roman"/>
                <w:b/>
                <w:bCs/>
                <w:sz w:val="18"/>
                <w:szCs w:val="18"/>
              </w:rPr>
              <w:t xml:space="preserve">Number of consumers </w:t>
            </w:r>
          </w:p>
        </w:tc>
        <w:tc>
          <w:tcPr>
            <w:tcW w:w="0" w:type="auto"/>
            <w:tcBorders>
              <w:top w:val="single" w:sz="8" w:space="0" w:color="auto"/>
              <w:left w:val="nil"/>
              <w:bottom w:val="single" w:sz="4" w:space="0" w:color="auto"/>
              <w:right w:val="single" w:sz="4" w:space="0" w:color="auto"/>
            </w:tcBorders>
            <w:shd w:val="clear" w:color="000000" w:fill="FCD5B4"/>
            <w:vAlign w:val="center"/>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Conne</w:t>
            </w:r>
            <w:r w:rsidR="00BA554B" w:rsidRPr="009A66E3">
              <w:rPr>
                <w:rFonts w:ascii="Times New Roman" w:eastAsia="Times New Roman" w:hAnsi="Times New Roman" w:cs="Times New Roman"/>
                <w:b/>
                <w:bCs/>
                <w:color w:val="000000"/>
                <w:sz w:val="18"/>
                <w:szCs w:val="18"/>
                <w:lang w:val="en-IN" w:eastAsia="en-IN"/>
              </w:rPr>
              <w:t xml:space="preserve">cted Load of consumers </w:t>
            </w:r>
          </w:p>
        </w:tc>
        <w:tc>
          <w:tcPr>
            <w:tcW w:w="0" w:type="auto"/>
            <w:tcBorders>
              <w:top w:val="single" w:sz="8" w:space="0" w:color="auto"/>
              <w:left w:val="nil"/>
              <w:bottom w:val="single" w:sz="4" w:space="0" w:color="auto"/>
              <w:right w:val="single" w:sz="4" w:space="0" w:color="auto"/>
            </w:tcBorders>
            <w:shd w:val="clear" w:color="000000" w:fill="FCD5B4"/>
            <w:vAlign w:val="center"/>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 xml:space="preserve">Energy Sale </w:t>
            </w:r>
          </w:p>
        </w:tc>
      </w:tr>
      <w:tr w:rsidR="005B1D93" w:rsidRPr="00E71156" w:rsidTr="00B01148">
        <w:trPr>
          <w:trHeight w:hRule="exact" w:val="284"/>
        </w:trPr>
        <w:tc>
          <w:tcPr>
            <w:tcW w:w="0" w:type="auto"/>
            <w:tcBorders>
              <w:top w:val="nil"/>
              <w:left w:val="single" w:sz="4" w:space="0" w:color="auto"/>
              <w:bottom w:val="single" w:sz="8" w:space="0" w:color="auto"/>
              <w:right w:val="single" w:sz="4" w:space="0" w:color="auto"/>
            </w:tcBorders>
            <w:shd w:val="clear" w:color="000000" w:fill="FCD5B4"/>
            <w:vAlign w:val="center"/>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w:t>
            </w:r>
          </w:p>
        </w:tc>
        <w:tc>
          <w:tcPr>
            <w:tcW w:w="0" w:type="auto"/>
            <w:tcBorders>
              <w:top w:val="nil"/>
              <w:left w:val="nil"/>
              <w:bottom w:val="single" w:sz="8" w:space="0" w:color="auto"/>
              <w:right w:val="single" w:sz="4" w:space="0" w:color="auto"/>
            </w:tcBorders>
            <w:shd w:val="clear" w:color="000000" w:fill="FCD5B4"/>
            <w:noWrap/>
            <w:vAlign w:val="center"/>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w:t>
            </w:r>
          </w:p>
        </w:tc>
        <w:tc>
          <w:tcPr>
            <w:tcW w:w="0" w:type="auto"/>
            <w:tcBorders>
              <w:top w:val="nil"/>
              <w:left w:val="nil"/>
              <w:bottom w:val="single" w:sz="8" w:space="0" w:color="auto"/>
              <w:right w:val="single" w:sz="4" w:space="0" w:color="auto"/>
            </w:tcBorders>
            <w:shd w:val="clear" w:color="000000" w:fill="FCD5B4"/>
            <w:noWrap/>
            <w:vAlign w:val="center"/>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KW</w:t>
            </w:r>
          </w:p>
        </w:tc>
        <w:tc>
          <w:tcPr>
            <w:tcW w:w="0" w:type="auto"/>
            <w:tcBorders>
              <w:top w:val="nil"/>
              <w:left w:val="nil"/>
              <w:bottom w:val="single" w:sz="8" w:space="0" w:color="auto"/>
              <w:right w:val="single" w:sz="4" w:space="0" w:color="auto"/>
            </w:tcBorders>
            <w:shd w:val="clear" w:color="000000" w:fill="FCD5B4"/>
            <w:noWrap/>
            <w:vAlign w:val="center"/>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MU</w:t>
            </w:r>
          </w:p>
        </w:tc>
      </w:tr>
      <w:tr w:rsidR="005B1D93" w:rsidRPr="00E71156" w:rsidTr="00B01148">
        <w:trPr>
          <w:trHeight w:hRule="exac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LT Categories</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w:t>
            </w:r>
          </w:p>
        </w:tc>
      </w:tr>
      <w:tr w:rsidR="009A66E3" w:rsidRPr="00E71156" w:rsidTr="00B01148">
        <w:trPr>
          <w:trHeight w:hRule="exact" w:val="284"/>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LTI </w:t>
            </w:r>
          </w:p>
        </w:tc>
        <w:tc>
          <w:tcPr>
            <w:tcW w:w="0" w:type="auto"/>
            <w:tcBorders>
              <w:top w:val="nil"/>
              <w:left w:val="nil"/>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22,526</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89,662.75</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40.10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LTIVA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484</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3,225.97</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3.24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LTIVB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57.00</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0.02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185</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126.74</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0.05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LTVB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2.00</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0.0009</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249</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1,340.29</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2.16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LTVIB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473</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1,806.92</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3E322D">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2.49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LTVIC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501</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5,893.95</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4.73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LTVID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31</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54.00</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0.08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LTVIE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43</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73.14</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0.07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LTVIF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722</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3,742.14</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5.00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LTVIG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78</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822.18</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1.07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LTVIIA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14,361</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41388.46</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42.15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LTVIIB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1,656</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478.68</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0.72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LTVIIC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13</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99</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0.15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LTVIIIB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292 </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378</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1.21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LTII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      </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0</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0.001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 IX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76 </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163.7</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0.07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 III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0.06 </w:t>
            </w:r>
          </w:p>
        </w:tc>
      </w:tr>
      <w:tr w:rsidR="009A66E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9A66E3" w:rsidRPr="009A66E3" w:rsidRDefault="009A66E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LT X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 </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B01148">
            <w:pPr>
              <w:jc w:val="center"/>
              <w:rPr>
                <w:rFonts w:ascii="Book Antiqua" w:hAnsi="Book Antiqua"/>
                <w:color w:val="000000"/>
                <w:sz w:val="18"/>
                <w:szCs w:val="18"/>
              </w:rPr>
            </w:pPr>
            <w:r w:rsidRPr="009A66E3">
              <w:rPr>
                <w:rFonts w:ascii="Book Antiqua" w:hAnsi="Book Antiqua"/>
                <w:color w:val="000000"/>
                <w:sz w:val="18"/>
                <w:szCs w:val="18"/>
              </w:rPr>
              <w:t>48.00</w:t>
            </w:r>
          </w:p>
        </w:tc>
        <w:tc>
          <w:tcPr>
            <w:tcW w:w="0" w:type="auto"/>
            <w:tcBorders>
              <w:top w:val="nil"/>
              <w:left w:val="nil"/>
              <w:bottom w:val="single" w:sz="4" w:space="0" w:color="auto"/>
              <w:right w:val="single" w:sz="4" w:space="0" w:color="auto"/>
            </w:tcBorders>
            <w:shd w:val="clear" w:color="000000" w:fill="FFFFFF"/>
            <w:noWrap/>
            <w:vAlign w:val="bottom"/>
            <w:hideMark/>
          </w:tcPr>
          <w:p w:rsidR="009A66E3" w:rsidRPr="009A66E3" w:rsidRDefault="009A66E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0.01 </w:t>
            </w:r>
          </w:p>
        </w:tc>
      </w:tr>
      <w:tr w:rsidR="005B1D93" w:rsidRPr="00E71156" w:rsidTr="00B01148">
        <w:trPr>
          <w:trHeight w:hRule="exac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LT TOTAL</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475C79" w:rsidP="00475C79">
            <w:pPr>
              <w:spacing w:after="0" w:line="360" w:lineRule="auto"/>
              <w:jc w:val="center"/>
              <w:rPr>
                <w:rFonts w:ascii="Times New Roman" w:eastAsia="Times New Roman" w:hAnsi="Times New Roman" w:cs="Times New Roman"/>
                <w:b/>
                <w:color w:val="000000"/>
                <w:sz w:val="18"/>
                <w:szCs w:val="18"/>
                <w:lang w:val="en-IN" w:eastAsia="en-IN"/>
              </w:rPr>
            </w:pPr>
            <w:r w:rsidRPr="009A66E3">
              <w:rPr>
                <w:rFonts w:ascii="Times New Roman" w:eastAsia="Times New Roman" w:hAnsi="Times New Roman" w:cs="Times New Roman"/>
                <w:b/>
                <w:color w:val="000000"/>
                <w:sz w:val="18"/>
                <w:szCs w:val="18"/>
                <w:lang w:val="en-IN" w:eastAsia="en-IN"/>
              </w:rPr>
              <w:t>4169</w:t>
            </w:r>
            <w:r w:rsidR="009A66E3" w:rsidRPr="009A66E3">
              <w:rPr>
                <w:rFonts w:ascii="Times New Roman" w:eastAsia="Times New Roman" w:hAnsi="Times New Roman" w:cs="Times New Roman"/>
                <w:b/>
                <w:color w:val="000000"/>
                <w:sz w:val="18"/>
                <w:szCs w:val="18"/>
                <w:lang w:val="en-IN" w:eastAsia="en-IN"/>
              </w:rPr>
              <w:t>7</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9A66E3" w:rsidP="00B01148">
            <w:pPr>
              <w:spacing w:after="0" w:line="360" w:lineRule="auto"/>
              <w:jc w:val="center"/>
              <w:rPr>
                <w:rFonts w:ascii="Times New Roman" w:eastAsia="Times New Roman" w:hAnsi="Times New Roman" w:cs="Times New Roman"/>
                <w:b/>
                <w:color w:val="000000"/>
                <w:sz w:val="18"/>
                <w:szCs w:val="18"/>
                <w:lang w:val="en-IN" w:eastAsia="en-IN"/>
              </w:rPr>
            </w:pPr>
            <w:r w:rsidRPr="009A66E3">
              <w:rPr>
                <w:rFonts w:ascii="Times New Roman" w:eastAsia="Times New Roman" w:hAnsi="Times New Roman" w:cs="Times New Roman"/>
                <w:b/>
                <w:color w:val="000000"/>
                <w:sz w:val="18"/>
                <w:szCs w:val="18"/>
                <w:lang w:val="en-IN" w:eastAsia="en-IN"/>
              </w:rPr>
              <w:t>149362.92</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845A50" w:rsidP="00727E19">
            <w:pPr>
              <w:spacing w:after="0" w:line="360" w:lineRule="auto"/>
              <w:jc w:val="both"/>
              <w:rPr>
                <w:rFonts w:ascii="Times New Roman" w:eastAsia="Times New Roman" w:hAnsi="Times New Roman" w:cs="Times New Roman"/>
                <w:b/>
                <w:color w:val="000000"/>
                <w:sz w:val="18"/>
                <w:szCs w:val="18"/>
                <w:lang w:val="en-IN" w:eastAsia="en-IN"/>
              </w:rPr>
            </w:pPr>
            <w:r w:rsidRPr="009A66E3">
              <w:rPr>
                <w:rFonts w:ascii="Times New Roman" w:eastAsia="Times New Roman" w:hAnsi="Times New Roman" w:cs="Times New Roman"/>
                <w:b/>
                <w:color w:val="000000"/>
                <w:sz w:val="18"/>
                <w:szCs w:val="18"/>
                <w:lang w:val="en-IN" w:eastAsia="en-IN"/>
              </w:rPr>
              <w:t>103.52</w:t>
            </w:r>
          </w:p>
        </w:tc>
      </w:tr>
      <w:tr w:rsidR="005B1D93" w:rsidRPr="00E71156" w:rsidTr="00B01148">
        <w:trPr>
          <w:trHeight w:hRule="exac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HT Categories</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5B1D93" w:rsidP="00B01148">
            <w:pPr>
              <w:spacing w:after="0" w:line="360" w:lineRule="auto"/>
              <w:jc w:val="center"/>
              <w:rPr>
                <w:rFonts w:ascii="Times New Roman" w:eastAsia="Times New Roman" w:hAnsi="Times New Roman" w:cs="Times New Roman"/>
                <w:color w:val="000000"/>
                <w:sz w:val="18"/>
                <w:szCs w:val="18"/>
                <w:lang w:val="en-IN" w:eastAsia="en-IN"/>
              </w:rPr>
            </w:pP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w:t>
            </w:r>
          </w:p>
        </w:tc>
      </w:tr>
      <w:tr w:rsidR="005B1D9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5B1D93" w:rsidRPr="009A66E3" w:rsidRDefault="005B1D9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HT-1A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5 </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AD6045" w:rsidP="00B01148">
            <w:pPr>
              <w:spacing w:after="0" w:line="360" w:lineRule="auto"/>
              <w:jc w:val="center"/>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589</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0.67 </w:t>
            </w:r>
          </w:p>
        </w:tc>
      </w:tr>
      <w:tr w:rsidR="005B1D9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5B1D93" w:rsidRPr="009A66E3" w:rsidRDefault="005B1D9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HT-2A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8 </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AD6045" w:rsidP="00B01148">
            <w:pPr>
              <w:spacing w:after="0" w:line="360" w:lineRule="auto"/>
              <w:jc w:val="center"/>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2137</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2.06 </w:t>
            </w:r>
          </w:p>
        </w:tc>
      </w:tr>
      <w:tr w:rsidR="005B1D9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5B1D93" w:rsidRPr="009A66E3" w:rsidRDefault="005B1D9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HT-2B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31</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AD6045" w:rsidP="00B01148">
            <w:pPr>
              <w:spacing w:after="0" w:line="360" w:lineRule="auto"/>
              <w:jc w:val="center"/>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15265</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17.52 </w:t>
            </w:r>
          </w:p>
        </w:tc>
      </w:tr>
      <w:tr w:rsidR="005B1D93" w:rsidRPr="00E71156" w:rsidTr="00B01148">
        <w:trPr>
          <w:trHeight w:hRule="exact" w:val="284"/>
        </w:trPr>
        <w:tc>
          <w:tcPr>
            <w:tcW w:w="0" w:type="auto"/>
            <w:tcBorders>
              <w:top w:val="nil"/>
              <w:left w:val="single" w:sz="8" w:space="0" w:color="auto"/>
              <w:bottom w:val="single" w:sz="4" w:space="0" w:color="auto"/>
              <w:right w:val="single" w:sz="8" w:space="0" w:color="auto"/>
            </w:tcBorders>
            <w:shd w:val="clear" w:color="auto" w:fill="auto"/>
            <w:vAlign w:val="bottom"/>
            <w:hideMark/>
          </w:tcPr>
          <w:p w:rsidR="005B1D93" w:rsidRPr="009A66E3" w:rsidRDefault="005B1D9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HT-4A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53</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AD6045" w:rsidP="00B01148">
            <w:pPr>
              <w:spacing w:after="0" w:line="360" w:lineRule="auto"/>
              <w:jc w:val="center"/>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14060</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13.08 </w:t>
            </w:r>
          </w:p>
        </w:tc>
      </w:tr>
      <w:tr w:rsidR="005B1D93" w:rsidRPr="00E71156" w:rsidTr="00B01148">
        <w:trPr>
          <w:trHeight w:hRule="exact" w:val="284"/>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5B1D93" w:rsidRPr="009A66E3" w:rsidRDefault="005B1D9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HT-4B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36 </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AD6045" w:rsidP="00B01148">
            <w:pPr>
              <w:spacing w:after="0" w:line="360" w:lineRule="auto"/>
              <w:jc w:val="center"/>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10994</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11.18 </w:t>
            </w:r>
          </w:p>
        </w:tc>
      </w:tr>
      <w:tr w:rsidR="005B1D93" w:rsidRPr="00E71156" w:rsidTr="00B01148">
        <w:trPr>
          <w:trHeight w:hRule="exact" w:val="284"/>
        </w:trPr>
        <w:tc>
          <w:tcPr>
            <w:tcW w:w="0" w:type="auto"/>
            <w:tcBorders>
              <w:top w:val="single" w:sz="4" w:space="0" w:color="auto"/>
              <w:left w:val="single" w:sz="4" w:space="0" w:color="auto"/>
              <w:bottom w:val="single" w:sz="4" w:space="0" w:color="auto"/>
              <w:right w:val="nil"/>
            </w:tcBorders>
            <w:shd w:val="clear" w:color="auto" w:fill="auto"/>
            <w:vAlign w:val="bottom"/>
            <w:hideMark/>
          </w:tcPr>
          <w:p w:rsidR="005B1D93" w:rsidRPr="009A66E3" w:rsidRDefault="005B1D93" w:rsidP="00727E19">
            <w:pPr>
              <w:spacing w:after="0" w:line="360" w:lineRule="auto"/>
              <w:jc w:val="both"/>
              <w:rPr>
                <w:rFonts w:ascii="Times New Roman" w:eastAsia="Times New Roman" w:hAnsi="Times New Roman" w:cs="Times New Roman"/>
                <w:b/>
                <w:bCs/>
                <w:i/>
                <w:iCs/>
                <w:color w:val="000000"/>
                <w:sz w:val="18"/>
                <w:szCs w:val="18"/>
                <w:lang w:val="en-IN" w:eastAsia="en-IN"/>
              </w:rPr>
            </w:pPr>
            <w:r w:rsidRPr="009A66E3">
              <w:rPr>
                <w:rFonts w:ascii="Times New Roman" w:eastAsia="Times New Roman" w:hAnsi="Times New Roman" w:cs="Times New Roman"/>
                <w:b/>
                <w:bCs/>
                <w:i/>
                <w:iCs/>
                <w:color w:val="000000"/>
                <w:sz w:val="18"/>
                <w:szCs w:val="18"/>
                <w:lang w:val="en-IN" w:eastAsia="en-IN"/>
              </w:rPr>
              <w:t xml:space="preserve"> SPS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1</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AD6045" w:rsidP="00B01148">
            <w:pPr>
              <w:spacing w:after="0" w:line="360" w:lineRule="auto"/>
              <w:jc w:val="center"/>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48</w:t>
            </w:r>
          </w:p>
        </w:tc>
        <w:tc>
          <w:tcPr>
            <w:tcW w:w="0" w:type="auto"/>
            <w:tcBorders>
              <w:top w:val="nil"/>
              <w:left w:val="nil"/>
              <w:bottom w:val="single" w:sz="4" w:space="0" w:color="auto"/>
              <w:right w:val="single" w:sz="4" w:space="0" w:color="auto"/>
            </w:tcBorders>
            <w:shd w:val="clear" w:color="auto" w:fill="auto"/>
            <w:noWrap/>
            <w:vAlign w:val="bottom"/>
            <w:hideMark/>
          </w:tcPr>
          <w:p w:rsidR="005B1D93" w:rsidRPr="009A66E3" w:rsidRDefault="005B1D93" w:rsidP="00727E19">
            <w:pPr>
              <w:spacing w:after="0" w:line="360" w:lineRule="auto"/>
              <w:jc w:val="both"/>
              <w:rPr>
                <w:rFonts w:ascii="Times New Roman" w:eastAsia="Times New Roman" w:hAnsi="Times New Roman" w:cs="Times New Roman"/>
                <w:color w:val="000000"/>
                <w:sz w:val="18"/>
                <w:szCs w:val="18"/>
                <w:lang w:val="en-IN" w:eastAsia="en-IN"/>
              </w:rPr>
            </w:pPr>
            <w:r w:rsidRPr="009A66E3">
              <w:rPr>
                <w:rFonts w:ascii="Times New Roman" w:eastAsia="Times New Roman" w:hAnsi="Times New Roman" w:cs="Times New Roman"/>
                <w:color w:val="000000"/>
                <w:sz w:val="18"/>
                <w:szCs w:val="18"/>
                <w:lang w:val="en-IN" w:eastAsia="en-IN"/>
              </w:rPr>
              <w:t xml:space="preserve">        0.32 </w:t>
            </w:r>
          </w:p>
        </w:tc>
      </w:tr>
      <w:tr w:rsidR="005B1D93" w:rsidRPr="00E71156" w:rsidTr="00B01148">
        <w:trPr>
          <w:trHeight w:hRule="exac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B1D93" w:rsidRPr="009A66E3" w:rsidRDefault="00845A50"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HT TOTAL</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845A50" w:rsidP="003E322D">
            <w:pPr>
              <w:spacing w:after="0" w:line="360" w:lineRule="auto"/>
              <w:jc w:val="center"/>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134</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EB5F9B" w:rsidP="00B01148">
            <w:pPr>
              <w:spacing w:after="0" w:line="360" w:lineRule="auto"/>
              <w:jc w:val="center"/>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4309</w:t>
            </w:r>
            <w:r w:rsidR="0095211B" w:rsidRPr="009A66E3">
              <w:rPr>
                <w:rFonts w:ascii="Times New Roman" w:eastAsia="Times New Roman" w:hAnsi="Times New Roman" w:cs="Times New Roman"/>
                <w:b/>
                <w:bCs/>
                <w:color w:val="000000"/>
                <w:sz w:val="18"/>
                <w:szCs w:val="18"/>
                <w:lang w:val="en-IN" w:eastAsia="en-IN"/>
              </w:rPr>
              <w:t>1</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845A50" w:rsidP="003E322D">
            <w:pPr>
              <w:spacing w:after="0" w:line="360" w:lineRule="auto"/>
              <w:jc w:val="center"/>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44.84</w:t>
            </w:r>
          </w:p>
        </w:tc>
      </w:tr>
      <w:tr w:rsidR="005B1D93" w:rsidRPr="00E71156" w:rsidTr="00B01148">
        <w:trPr>
          <w:trHeight w:hRule="exac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B1D93" w:rsidRPr="009A66E3" w:rsidRDefault="00845A50"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Self consumption</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5B1D93" w:rsidP="00727E19">
            <w:pPr>
              <w:spacing w:after="0" w:line="360" w:lineRule="auto"/>
              <w:jc w:val="both"/>
              <w:rPr>
                <w:rFonts w:ascii="Times New Roman" w:eastAsia="Times New Roman" w:hAnsi="Times New Roman" w:cs="Times New Roman"/>
                <w:b/>
                <w:bCs/>
                <w:color w:val="000000"/>
                <w:sz w:val="18"/>
                <w:szCs w:val="18"/>
                <w:lang w:val="en-IN" w:eastAsia="en-IN"/>
              </w:rPr>
            </w:pP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5B1D93" w:rsidP="00B01148">
            <w:pPr>
              <w:spacing w:after="0" w:line="360" w:lineRule="auto"/>
              <w:jc w:val="center"/>
              <w:rPr>
                <w:rFonts w:ascii="Times New Roman" w:eastAsia="Times New Roman" w:hAnsi="Times New Roman" w:cs="Times New Roman"/>
                <w:b/>
                <w:bCs/>
                <w:color w:val="000000"/>
                <w:sz w:val="18"/>
                <w:szCs w:val="18"/>
                <w:highlight w:val="yellow"/>
                <w:lang w:val="en-IN" w:eastAsia="en-IN"/>
              </w:rPr>
            </w:pP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3E322D" w:rsidP="003E322D">
            <w:pPr>
              <w:spacing w:after="0" w:line="360" w:lineRule="auto"/>
              <w:jc w:val="center"/>
              <w:rPr>
                <w:rFonts w:ascii="Times New Roman" w:eastAsia="Times New Roman" w:hAnsi="Times New Roman" w:cs="Times New Roman"/>
                <w:bCs/>
                <w:color w:val="000000"/>
                <w:sz w:val="18"/>
                <w:szCs w:val="18"/>
                <w:lang w:val="en-IN" w:eastAsia="en-IN"/>
              </w:rPr>
            </w:pPr>
            <w:r w:rsidRPr="009A66E3">
              <w:rPr>
                <w:rFonts w:ascii="Times New Roman" w:eastAsia="Times New Roman" w:hAnsi="Times New Roman" w:cs="Times New Roman"/>
                <w:bCs/>
                <w:color w:val="000000"/>
                <w:sz w:val="18"/>
                <w:szCs w:val="18"/>
                <w:lang w:val="en-IN" w:eastAsia="en-IN"/>
              </w:rPr>
              <w:t>0.13</w:t>
            </w:r>
          </w:p>
        </w:tc>
      </w:tr>
      <w:tr w:rsidR="005B1D93" w:rsidRPr="00E71156" w:rsidTr="00B01148">
        <w:trPr>
          <w:trHeight w:hRule="exact" w:val="284"/>
        </w:trPr>
        <w:tc>
          <w:tcPr>
            <w:tcW w:w="0" w:type="auto"/>
            <w:tcBorders>
              <w:top w:val="nil"/>
              <w:left w:val="single" w:sz="4" w:space="0" w:color="auto"/>
              <w:bottom w:val="single" w:sz="4" w:space="0" w:color="auto"/>
              <w:right w:val="single" w:sz="4" w:space="0" w:color="auto"/>
            </w:tcBorders>
            <w:shd w:val="clear" w:color="000000" w:fill="FFFFFF"/>
            <w:vAlign w:val="bottom"/>
            <w:hideMark/>
          </w:tcPr>
          <w:p w:rsidR="005B1D93" w:rsidRPr="009A66E3" w:rsidRDefault="00845A50" w:rsidP="00727E19">
            <w:pPr>
              <w:spacing w:after="0" w:line="360" w:lineRule="auto"/>
              <w:jc w:val="both"/>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GRAND TOTAL</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845A50" w:rsidP="003E322D">
            <w:pPr>
              <w:spacing w:after="0" w:line="360" w:lineRule="auto"/>
              <w:jc w:val="center"/>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4183</w:t>
            </w:r>
            <w:r w:rsidR="009A66E3" w:rsidRPr="009A66E3">
              <w:rPr>
                <w:rFonts w:ascii="Times New Roman" w:eastAsia="Times New Roman" w:hAnsi="Times New Roman" w:cs="Times New Roman"/>
                <w:b/>
                <w:bCs/>
                <w:color w:val="000000"/>
                <w:sz w:val="18"/>
                <w:szCs w:val="18"/>
                <w:lang w:val="en-IN" w:eastAsia="en-IN"/>
              </w:rPr>
              <w:t>1</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95211B" w:rsidP="00B01148">
            <w:pPr>
              <w:spacing w:after="0" w:line="360" w:lineRule="auto"/>
              <w:jc w:val="center"/>
              <w:rPr>
                <w:rFonts w:ascii="Times New Roman" w:eastAsia="Times New Roman" w:hAnsi="Times New Roman" w:cs="Times New Roman"/>
                <w:b/>
                <w:bCs/>
                <w:color w:val="000000"/>
                <w:sz w:val="18"/>
                <w:szCs w:val="18"/>
                <w:highlight w:val="yellow"/>
                <w:lang w:val="en-IN" w:eastAsia="en-IN"/>
              </w:rPr>
            </w:pPr>
            <w:r w:rsidRPr="009A66E3">
              <w:rPr>
                <w:rFonts w:ascii="Times New Roman" w:eastAsia="Times New Roman" w:hAnsi="Times New Roman" w:cs="Times New Roman"/>
                <w:b/>
                <w:bCs/>
                <w:color w:val="000000"/>
                <w:sz w:val="18"/>
                <w:szCs w:val="18"/>
                <w:lang w:val="en-IN" w:eastAsia="en-IN"/>
              </w:rPr>
              <w:t>192454</w:t>
            </w:r>
          </w:p>
        </w:tc>
        <w:tc>
          <w:tcPr>
            <w:tcW w:w="0" w:type="auto"/>
            <w:tcBorders>
              <w:top w:val="nil"/>
              <w:left w:val="nil"/>
              <w:bottom w:val="single" w:sz="4" w:space="0" w:color="auto"/>
              <w:right w:val="single" w:sz="4" w:space="0" w:color="auto"/>
            </w:tcBorders>
            <w:shd w:val="clear" w:color="000000" w:fill="FFFFFF"/>
            <w:noWrap/>
            <w:vAlign w:val="bottom"/>
            <w:hideMark/>
          </w:tcPr>
          <w:p w:rsidR="005B1D93" w:rsidRPr="009A66E3" w:rsidRDefault="00845A50" w:rsidP="003E322D">
            <w:pPr>
              <w:spacing w:after="0" w:line="360" w:lineRule="auto"/>
              <w:jc w:val="center"/>
              <w:rPr>
                <w:rFonts w:ascii="Times New Roman" w:eastAsia="Times New Roman" w:hAnsi="Times New Roman" w:cs="Times New Roman"/>
                <w:b/>
                <w:bCs/>
                <w:color w:val="000000"/>
                <w:sz w:val="18"/>
                <w:szCs w:val="18"/>
                <w:lang w:val="en-IN" w:eastAsia="en-IN"/>
              </w:rPr>
            </w:pPr>
            <w:r w:rsidRPr="009A66E3">
              <w:rPr>
                <w:rFonts w:ascii="Times New Roman" w:eastAsia="Times New Roman" w:hAnsi="Times New Roman" w:cs="Times New Roman"/>
                <w:b/>
                <w:bCs/>
                <w:color w:val="000000"/>
                <w:sz w:val="18"/>
                <w:szCs w:val="18"/>
                <w:lang w:val="en-IN" w:eastAsia="en-IN"/>
              </w:rPr>
              <w:t>148.</w:t>
            </w:r>
            <w:r w:rsidR="003E322D" w:rsidRPr="009A66E3">
              <w:rPr>
                <w:rFonts w:ascii="Times New Roman" w:eastAsia="Times New Roman" w:hAnsi="Times New Roman" w:cs="Times New Roman"/>
                <w:b/>
                <w:bCs/>
                <w:color w:val="000000"/>
                <w:sz w:val="18"/>
                <w:szCs w:val="18"/>
                <w:lang w:val="en-IN" w:eastAsia="en-IN"/>
              </w:rPr>
              <w:t>36</w:t>
            </w:r>
          </w:p>
        </w:tc>
      </w:tr>
    </w:tbl>
    <w:p w:rsidR="004B7892" w:rsidRPr="00E71156" w:rsidRDefault="004B7892" w:rsidP="00727E19">
      <w:pPr>
        <w:pStyle w:val="ListParagraph"/>
        <w:spacing w:line="360" w:lineRule="auto"/>
        <w:ind w:left="90"/>
        <w:jc w:val="both"/>
        <w:rPr>
          <w:rFonts w:ascii="Times New Roman" w:hAnsi="Times New Roman" w:cs="Times New Roman"/>
          <w:b/>
          <w:bCs/>
          <w:sz w:val="24"/>
          <w:szCs w:val="24"/>
          <w:u w:val="single"/>
        </w:rPr>
      </w:pPr>
    </w:p>
    <w:p w:rsidR="00475C79" w:rsidRDefault="00BA554B" w:rsidP="00475C79">
      <w:pPr>
        <w:pStyle w:val="Default"/>
        <w:spacing w:line="360" w:lineRule="auto"/>
        <w:jc w:val="both"/>
        <w:rPr>
          <w:rFonts w:ascii="Times New Roman" w:hAnsi="Times New Roman" w:cs="Times New Roman"/>
        </w:rPr>
      </w:pPr>
      <w:r w:rsidRPr="00E71156">
        <w:rPr>
          <w:rFonts w:ascii="Times New Roman" w:hAnsi="Times New Roman" w:cs="Times New Roman"/>
        </w:rPr>
        <w:t xml:space="preserve">In addition to the above, solar prosumers with a total installed capacity of </w:t>
      </w:r>
      <w:r w:rsidR="00B65567" w:rsidRPr="00E71156">
        <w:rPr>
          <w:rFonts w:ascii="Times New Roman" w:hAnsi="Times New Roman" w:cs="Times New Roman"/>
          <w:color w:val="auto"/>
        </w:rPr>
        <w:t>3524</w:t>
      </w:r>
      <w:r w:rsidRPr="00E71156">
        <w:rPr>
          <w:rFonts w:ascii="Times New Roman" w:hAnsi="Times New Roman" w:cs="Times New Roman"/>
          <w:color w:val="auto"/>
        </w:rPr>
        <w:t xml:space="preserve"> </w:t>
      </w:r>
      <w:r w:rsidR="00A461FE" w:rsidRPr="00E71156">
        <w:rPr>
          <w:rFonts w:ascii="Times New Roman" w:hAnsi="Times New Roman" w:cs="Times New Roman"/>
          <w:color w:val="auto"/>
        </w:rPr>
        <w:t>k</w:t>
      </w:r>
      <w:r w:rsidRPr="00E71156">
        <w:rPr>
          <w:rFonts w:ascii="Times New Roman" w:hAnsi="Times New Roman" w:cs="Times New Roman"/>
          <w:color w:val="auto"/>
        </w:rPr>
        <w:t>W</w:t>
      </w:r>
      <w:r w:rsidRPr="00E71156">
        <w:rPr>
          <w:rFonts w:ascii="Times New Roman" w:hAnsi="Times New Roman" w:cs="Times New Roman"/>
        </w:rPr>
        <w:t xml:space="preserve"> as on 31.</w:t>
      </w:r>
      <w:r w:rsidR="00B65567" w:rsidRPr="00E71156">
        <w:rPr>
          <w:rFonts w:ascii="Times New Roman" w:hAnsi="Times New Roman" w:cs="Times New Roman"/>
        </w:rPr>
        <w:t>03</w:t>
      </w:r>
      <w:r w:rsidRPr="00E71156">
        <w:rPr>
          <w:rFonts w:ascii="Times New Roman" w:hAnsi="Times New Roman" w:cs="Times New Roman"/>
        </w:rPr>
        <w:t xml:space="preserve">.2023 also injected energy into the grid and consumed energy from the grid through banking arrangements. </w:t>
      </w:r>
      <w:r w:rsidR="00BD66BC" w:rsidRPr="00E71156">
        <w:rPr>
          <w:rFonts w:ascii="Times New Roman" w:hAnsi="Times New Roman" w:cs="Times New Roman"/>
        </w:rPr>
        <w:t xml:space="preserve">The net banked energy purchased from the solar prosumers </w:t>
      </w:r>
      <w:r w:rsidR="00475C79">
        <w:rPr>
          <w:rFonts w:ascii="Times New Roman" w:hAnsi="Times New Roman" w:cs="Times New Roman"/>
        </w:rPr>
        <w:t>0.51 MU  and the solar generation by TCED owned solar plants 0.55 MU are</w:t>
      </w:r>
      <w:r w:rsidR="00BD66BC" w:rsidRPr="00E71156">
        <w:rPr>
          <w:rFonts w:ascii="Times New Roman" w:hAnsi="Times New Roman" w:cs="Times New Roman"/>
        </w:rPr>
        <w:t xml:space="preserve"> taken </w:t>
      </w:r>
      <w:r w:rsidRPr="00E71156">
        <w:rPr>
          <w:rFonts w:ascii="Times New Roman" w:hAnsi="Times New Roman" w:cs="Times New Roman"/>
        </w:rPr>
        <w:t xml:space="preserve">for loss calculation purposes. </w:t>
      </w:r>
    </w:p>
    <w:p w:rsidR="00ED66C3" w:rsidRPr="00E71156" w:rsidRDefault="00ED66C3" w:rsidP="00475C79">
      <w:pPr>
        <w:pStyle w:val="Default"/>
        <w:spacing w:line="360" w:lineRule="auto"/>
        <w:jc w:val="both"/>
        <w:rPr>
          <w:rFonts w:ascii="Times New Roman" w:hAnsi="Times New Roman" w:cs="Times New Roman"/>
          <w:b/>
        </w:rPr>
      </w:pPr>
    </w:p>
    <w:p w:rsidR="00BA554B" w:rsidRPr="00E71156" w:rsidRDefault="0050432D" w:rsidP="00727E19">
      <w:pPr>
        <w:pStyle w:val="Default"/>
        <w:numPr>
          <w:ilvl w:val="1"/>
          <w:numId w:val="5"/>
        </w:numPr>
        <w:spacing w:line="360" w:lineRule="auto"/>
        <w:jc w:val="both"/>
        <w:rPr>
          <w:rFonts w:ascii="Times New Roman" w:hAnsi="Times New Roman" w:cs="Times New Roman"/>
          <w:b/>
        </w:rPr>
      </w:pPr>
      <w:r w:rsidRPr="00E71156">
        <w:rPr>
          <w:rFonts w:ascii="Times New Roman" w:hAnsi="Times New Roman" w:cs="Times New Roman"/>
          <w:b/>
        </w:rPr>
        <w:lastRenderedPageBreak/>
        <w:t>LOSSES</w:t>
      </w:r>
    </w:p>
    <w:p w:rsidR="00345633" w:rsidRPr="00E71156" w:rsidRDefault="005C2054" w:rsidP="00727E19">
      <w:pPr>
        <w:pStyle w:val="ListParagraph"/>
        <w:spacing w:line="360" w:lineRule="auto"/>
        <w:ind w:left="1200"/>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T &amp; D Loss:</w:t>
      </w:r>
    </w:p>
    <w:p w:rsidR="00661E90" w:rsidRPr="00E71156" w:rsidRDefault="00D602D1" w:rsidP="007429CD">
      <w:pPr>
        <w:autoSpaceDE w:val="0"/>
        <w:autoSpaceDN w:val="0"/>
        <w:adjustRightInd w:val="0"/>
        <w:spacing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color w:val="000000"/>
          <w:sz w:val="24"/>
          <w:szCs w:val="24"/>
          <w:lang w:val="en-IN" w:eastAsia="en-IN"/>
        </w:rPr>
        <w:t>The Hon’ble Commission, in its order for the last control period has fixed the T&amp;D loss target for FY 2021-22 as 6 %.   The actual T&amp;D loss for the year 2022-23 was 7.08%, at the same time the AT&amp;C loss for the year FY 2022-23 is 9.53%. TCED achieved collection efficiency of 97.36% during 2022-23. The energy banked by the solar prosumer and the own generation of TCED are taken into consideration for loss calculation purposes. In order to curtail the loss, the TCED started conducting regular annual energy audits and submit the same to the BEE and PFC and implementing the recommendations of the audit.</w:t>
      </w:r>
      <w:r w:rsidRPr="00E71156">
        <w:rPr>
          <w:rFonts w:ascii="Times New Roman" w:hAnsi="Times New Roman" w:cs="Times New Roman"/>
          <w:bCs/>
          <w:sz w:val="24"/>
          <w:szCs w:val="24"/>
        </w:rPr>
        <w:t xml:space="preserve"> </w:t>
      </w:r>
      <w:r w:rsidRPr="00E71156">
        <w:rPr>
          <w:rFonts w:ascii="Times New Roman" w:eastAsia="SimSun" w:hAnsi="Times New Roman" w:cs="Times New Roman"/>
          <w:sz w:val="24"/>
          <w:szCs w:val="24"/>
          <w:lang w:val="en-IN" w:eastAsia="en-IN"/>
        </w:rPr>
        <w:t>Furthermore, The T&amp;D loss approved by the Govt of Kerala vide Corrigendum number 6474/10/PD dated 18/12/2015 is 8 %, a copy of the same is submitted for the kind reference of the Hon’ble Commission. So the TCED requests the Hon’ble Commission to reset the T&amp;D loss reduction targets according to the aforementioned corrigendum.</w:t>
      </w:r>
    </w:p>
    <w:p w:rsidR="00063C01" w:rsidRPr="00E71156" w:rsidRDefault="00063C01" w:rsidP="00727E19">
      <w:pPr>
        <w:pStyle w:val="ListParagraph"/>
        <w:autoSpaceDE w:val="0"/>
        <w:autoSpaceDN w:val="0"/>
        <w:adjustRightInd w:val="0"/>
        <w:spacing w:after="0" w:line="360" w:lineRule="auto"/>
        <w:ind w:left="1200"/>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AT &amp; C Loss</w:t>
      </w:r>
    </w:p>
    <w:p w:rsidR="00ED66C3" w:rsidRDefault="001C5BBE" w:rsidP="00ED66C3">
      <w:pPr>
        <w:autoSpaceDE w:val="0"/>
        <w:autoSpaceDN w:val="0"/>
        <w:adjustRightInd w:val="0"/>
        <w:spacing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The AT &amp; C loss targets approved under RDSS by the Union Ministry of Power for the FY 2022-23 is 8.35% as per notification number 12/11(01)/2021 –UR SSI-II(263835). Copy of the same is submitted herewith. The Hon’ble KSERC is considering only T and D loss for the TCED and not taking into account the AT and C loss. The reason cited for the same was that the TCED is a small licensee and it should endeavor to achieve 100 % collection efficiency and made T&amp;D loss and AT&amp;C loss as same for the TCED. But under the present circumstances, achieving 100% collection efficiency is a cumbersome affair. So it is requested to consider T&amp;D loss and AT&amp;C loss separately. The T&amp;D loss approved by the</w:t>
      </w:r>
      <w:r w:rsidRPr="00E71156">
        <w:rPr>
          <w:rFonts w:ascii="Times New Roman" w:hAnsi="Times New Roman" w:cs="Times New Roman"/>
          <w:bCs/>
          <w:sz w:val="24"/>
          <w:szCs w:val="24"/>
        </w:rPr>
        <w:t xml:space="preserve"> </w:t>
      </w:r>
      <w:r w:rsidRPr="00E71156">
        <w:rPr>
          <w:rFonts w:ascii="Times New Roman" w:eastAsia="SimSun" w:hAnsi="Times New Roman" w:cs="Times New Roman"/>
          <w:sz w:val="24"/>
          <w:szCs w:val="24"/>
          <w:lang w:val="en-IN" w:eastAsia="en-IN"/>
        </w:rPr>
        <w:t xml:space="preserve">Hon’ble Commission for the year 2021-22 is 6.25% which is unrealistic. The AT&amp;C loss of the TCED for the year FY 2022-23 calculated as per CEA methodology comes to 9.53%. After the implementation of the RDSS projects, the TCED is planning to reduce the AT&amp;C loss to 8% and has taken the same in the projections. So the TCED requests the Hon’ble Commission to </w:t>
      </w:r>
      <w:r w:rsidR="004A0597" w:rsidRPr="00E71156">
        <w:rPr>
          <w:rFonts w:ascii="Times New Roman" w:eastAsia="SimSun" w:hAnsi="Times New Roman" w:cs="Times New Roman"/>
          <w:sz w:val="24"/>
          <w:szCs w:val="24"/>
          <w:lang w:val="en-IN" w:eastAsia="en-IN"/>
        </w:rPr>
        <w:t>fix</w:t>
      </w:r>
      <w:r w:rsidRPr="00E71156">
        <w:rPr>
          <w:rFonts w:ascii="Times New Roman" w:eastAsia="SimSun" w:hAnsi="Times New Roman" w:cs="Times New Roman"/>
          <w:sz w:val="24"/>
          <w:szCs w:val="24"/>
          <w:lang w:val="en-IN" w:eastAsia="en-IN"/>
        </w:rPr>
        <w:t xml:space="preserve"> the</w:t>
      </w:r>
      <w:r w:rsidR="004A0597" w:rsidRPr="00E71156">
        <w:rPr>
          <w:rFonts w:ascii="Times New Roman" w:eastAsia="SimSun" w:hAnsi="Times New Roman" w:cs="Times New Roman"/>
          <w:sz w:val="24"/>
          <w:szCs w:val="24"/>
          <w:lang w:val="en-IN" w:eastAsia="en-IN"/>
        </w:rPr>
        <w:t xml:space="preserve"> AT&amp;C</w:t>
      </w:r>
      <w:r w:rsidRPr="00E71156">
        <w:rPr>
          <w:rFonts w:ascii="Times New Roman" w:eastAsia="SimSun" w:hAnsi="Times New Roman" w:cs="Times New Roman"/>
          <w:sz w:val="24"/>
          <w:szCs w:val="24"/>
          <w:lang w:val="en-IN" w:eastAsia="en-IN"/>
        </w:rPr>
        <w:t xml:space="preserve"> loss reduction targets according to the aforementioned notification. </w:t>
      </w:r>
    </w:p>
    <w:p w:rsidR="00ED66C3" w:rsidRDefault="00ED66C3" w:rsidP="00ED66C3">
      <w:pPr>
        <w:autoSpaceDE w:val="0"/>
        <w:autoSpaceDN w:val="0"/>
        <w:adjustRightInd w:val="0"/>
        <w:spacing w:line="360" w:lineRule="auto"/>
        <w:jc w:val="both"/>
        <w:rPr>
          <w:rFonts w:ascii="Times New Roman" w:hAnsi="Times New Roman" w:cs="Times New Roman"/>
          <w:b/>
          <w:bCs/>
          <w:sz w:val="24"/>
          <w:szCs w:val="24"/>
        </w:rPr>
      </w:pPr>
    </w:p>
    <w:p w:rsidR="00ED66C3" w:rsidRDefault="00ED66C3" w:rsidP="00ED66C3">
      <w:pPr>
        <w:autoSpaceDE w:val="0"/>
        <w:autoSpaceDN w:val="0"/>
        <w:adjustRightInd w:val="0"/>
        <w:spacing w:line="360" w:lineRule="auto"/>
        <w:jc w:val="both"/>
        <w:rPr>
          <w:rFonts w:ascii="Times New Roman" w:hAnsi="Times New Roman" w:cs="Times New Roman"/>
          <w:b/>
          <w:bCs/>
          <w:sz w:val="24"/>
          <w:szCs w:val="24"/>
        </w:rPr>
      </w:pPr>
    </w:p>
    <w:p w:rsidR="00ED66C3" w:rsidRDefault="00ED66C3" w:rsidP="00ED66C3">
      <w:pPr>
        <w:autoSpaceDE w:val="0"/>
        <w:autoSpaceDN w:val="0"/>
        <w:adjustRightInd w:val="0"/>
        <w:spacing w:line="360" w:lineRule="auto"/>
        <w:jc w:val="both"/>
        <w:rPr>
          <w:rFonts w:ascii="Times New Roman" w:hAnsi="Times New Roman" w:cs="Times New Roman"/>
          <w:b/>
          <w:bCs/>
          <w:sz w:val="24"/>
          <w:szCs w:val="24"/>
        </w:rPr>
      </w:pPr>
    </w:p>
    <w:p w:rsidR="001C5BBE" w:rsidRPr="00E71156" w:rsidRDefault="001C5BBE" w:rsidP="00ED66C3">
      <w:pPr>
        <w:autoSpaceDE w:val="0"/>
        <w:autoSpaceDN w:val="0"/>
        <w:adjustRightInd w:val="0"/>
        <w:spacing w:line="360" w:lineRule="auto"/>
        <w:jc w:val="both"/>
        <w:rPr>
          <w:rFonts w:ascii="Times New Roman" w:hAnsi="Times New Roman" w:cs="Times New Roman"/>
          <w:b/>
          <w:bCs/>
          <w:sz w:val="24"/>
          <w:szCs w:val="24"/>
        </w:rPr>
      </w:pPr>
      <w:r w:rsidRPr="00E71156">
        <w:rPr>
          <w:rFonts w:ascii="Times New Roman" w:hAnsi="Times New Roman" w:cs="Times New Roman"/>
          <w:b/>
          <w:bCs/>
          <w:sz w:val="24"/>
          <w:szCs w:val="24"/>
        </w:rPr>
        <w:lastRenderedPageBreak/>
        <w:t xml:space="preserve">T&amp;D AND AT&amp;C LOSS for FY 2022-23 </w:t>
      </w:r>
    </w:p>
    <w:tbl>
      <w:tblPr>
        <w:tblStyle w:val="TableGrid"/>
        <w:tblW w:w="0" w:type="auto"/>
        <w:tblLook w:val="04A0"/>
      </w:tblPr>
      <w:tblGrid>
        <w:gridCol w:w="3080"/>
        <w:gridCol w:w="3081"/>
        <w:gridCol w:w="3081"/>
      </w:tblGrid>
      <w:tr w:rsidR="001C5BBE" w:rsidRPr="00E71156" w:rsidTr="00ED66C3">
        <w:trPr>
          <w:trHeight w:val="345"/>
        </w:trPr>
        <w:tc>
          <w:tcPr>
            <w:tcW w:w="3080" w:type="dxa"/>
          </w:tcPr>
          <w:p w:rsidR="001C5BBE" w:rsidRPr="00E71156" w:rsidRDefault="001C5BBE" w:rsidP="00727E19">
            <w:pPr>
              <w:autoSpaceDE w:val="0"/>
              <w:autoSpaceDN w:val="0"/>
              <w:adjustRightInd w:val="0"/>
              <w:spacing w:line="360" w:lineRule="auto"/>
              <w:jc w:val="both"/>
              <w:rPr>
                <w:rFonts w:ascii="Times New Roman" w:hAnsi="Times New Roman" w:cs="Times New Roman"/>
                <w:b/>
                <w:bCs/>
                <w:sz w:val="24"/>
                <w:szCs w:val="24"/>
              </w:rPr>
            </w:pPr>
            <w:r w:rsidRPr="00E71156">
              <w:rPr>
                <w:rFonts w:ascii="Times New Roman" w:hAnsi="Times New Roman" w:cs="Times New Roman"/>
                <w:b/>
                <w:bCs/>
                <w:sz w:val="24"/>
                <w:szCs w:val="24"/>
              </w:rPr>
              <w:t>YEAR</w:t>
            </w:r>
          </w:p>
        </w:tc>
        <w:tc>
          <w:tcPr>
            <w:tcW w:w="3081" w:type="dxa"/>
          </w:tcPr>
          <w:p w:rsidR="001C5BBE" w:rsidRPr="00E71156" w:rsidRDefault="001C5BBE" w:rsidP="00727E19">
            <w:pPr>
              <w:autoSpaceDE w:val="0"/>
              <w:autoSpaceDN w:val="0"/>
              <w:adjustRightInd w:val="0"/>
              <w:spacing w:line="360" w:lineRule="auto"/>
              <w:jc w:val="both"/>
              <w:rPr>
                <w:rFonts w:ascii="Times New Roman" w:hAnsi="Times New Roman" w:cs="Times New Roman"/>
                <w:b/>
                <w:bCs/>
                <w:sz w:val="24"/>
                <w:szCs w:val="24"/>
              </w:rPr>
            </w:pPr>
            <w:r w:rsidRPr="00E71156">
              <w:rPr>
                <w:rFonts w:ascii="Times New Roman" w:hAnsi="Times New Roman" w:cs="Times New Roman"/>
                <w:b/>
                <w:bCs/>
                <w:sz w:val="24"/>
                <w:szCs w:val="24"/>
              </w:rPr>
              <w:t>T&amp;DLOSS</w:t>
            </w:r>
          </w:p>
        </w:tc>
        <w:tc>
          <w:tcPr>
            <w:tcW w:w="3081" w:type="dxa"/>
          </w:tcPr>
          <w:p w:rsidR="001C5BBE" w:rsidRPr="00E71156" w:rsidRDefault="001C5BBE" w:rsidP="00727E19">
            <w:pPr>
              <w:autoSpaceDE w:val="0"/>
              <w:autoSpaceDN w:val="0"/>
              <w:adjustRightInd w:val="0"/>
              <w:spacing w:line="360" w:lineRule="auto"/>
              <w:jc w:val="both"/>
              <w:rPr>
                <w:rFonts w:ascii="Times New Roman" w:hAnsi="Times New Roman" w:cs="Times New Roman"/>
                <w:b/>
                <w:bCs/>
                <w:sz w:val="24"/>
                <w:szCs w:val="24"/>
              </w:rPr>
            </w:pPr>
            <w:r w:rsidRPr="00E71156">
              <w:rPr>
                <w:rFonts w:ascii="Times New Roman" w:hAnsi="Times New Roman" w:cs="Times New Roman"/>
                <w:b/>
                <w:bCs/>
                <w:sz w:val="24"/>
                <w:szCs w:val="24"/>
              </w:rPr>
              <w:t>AT&amp;C LOSS</w:t>
            </w:r>
          </w:p>
        </w:tc>
      </w:tr>
      <w:tr w:rsidR="001C5BBE" w:rsidRPr="00E71156" w:rsidTr="00BE5745">
        <w:tc>
          <w:tcPr>
            <w:tcW w:w="3080" w:type="dxa"/>
          </w:tcPr>
          <w:p w:rsidR="001C5BBE" w:rsidRPr="00E71156" w:rsidRDefault="001C5BBE" w:rsidP="00727E19">
            <w:pPr>
              <w:autoSpaceDE w:val="0"/>
              <w:autoSpaceDN w:val="0"/>
              <w:adjustRightInd w:val="0"/>
              <w:spacing w:line="360" w:lineRule="auto"/>
              <w:jc w:val="both"/>
              <w:rPr>
                <w:rFonts w:ascii="Times New Roman" w:hAnsi="Times New Roman" w:cs="Times New Roman"/>
                <w:bCs/>
                <w:sz w:val="24"/>
                <w:szCs w:val="24"/>
              </w:rPr>
            </w:pPr>
            <w:r w:rsidRPr="00E71156">
              <w:rPr>
                <w:rFonts w:ascii="Times New Roman" w:hAnsi="Times New Roman" w:cs="Times New Roman"/>
                <w:bCs/>
                <w:sz w:val="24"/>
                <w:szCs w:val="24"/>
              </w:rPr>
              <w:t>2022-23</w:t>
            </w:r>
          </w:p>
        </w:tc>
        <w:tc>
          <w:tcPr>
            <w:tcW w:w="3081" w:type="dxa"/>
          </w:tcPr>
          <w:p w:rsidR="001C5BBE" w:rsidRPr="00E71156" w:rsidRDefault="001C5BBE" w:rsidP="00727E19">
            <w:pPr>
              <w:autoSpaceDE w:val="0"/>
              <w:autoSpaceDN w:val="0"/>
              <w:adjustRightInd w:val="0"/>
              <w:spacing w:line="360" w:lineRule="auto"/>
              <w:jc w:val="both"/>
              <w:rPr>
                <w:rFonts w:ascii="Times New Roman" w:hAnsi="Times New Roman" w:cs="Times New Roman"/>
                <w:bCs/>
                <w:sz w:val="24"/>
                <w:szCs w:val="24"/>
              </w:rPr>
            </w:pPr>
            <w:r w:rsidRPr="00E71156">
              <w:rPr>
                <w:rFonts w:ascii="Times New Roman" w:hAnsi="Times New Roman" w:cs="Times New Roman"/>
                <w:bCs/>
                <w:sz w:val="24"/>
                <w:szCs w:val="24"/>
              </w:rPr>
              <w:t>7.08%</w:t>
            </w:r>
          </w:p>
        </w:tc>
        <w:tc>
          <w:tcPr>
            <w:tcW w:w="3081" w:type="dxa"/>
          </w:tcPr>
          <w:p w:rsidR="001C5BBE" w:rsidRPr="00E71156" w:rsidRDefault="001C5BBE" w:rsidP="00727E19">
            <w:pPr>
              <w:autoSpaceDE w:val="0"/>
              <w:autoSpaceDN w:val="0"/>
              <w:adjustRightInd w:val="0"/>
              <w:spacing w:line="360" w:lineRule="auto"/>
              <w:jc w:val="both"/>
              <w:rPr>
                <w:rFonts w:ascii="Times New Roman" w:hAnsi="Times New Roman" w:cs="Times New Roman"/>
                <w:bCs/>
                <w:sz w:val="24"/>
                <w:szCs w:val="24"/>
              </w:rPr>
            </w:pPr>
            <w:r w:rsidRPr="00E71156">
              <w:rPr>
                <w:rFonts w:ascii="Times New Roman" w:hAnsi="Times New Roman" w:cs="Times New Roman"/>
                <w:bCs/>
                <w:sz w:val="24"/>
                <w:szCs w:val="24"/>
              </w:rPr>
              <w:t>9.53%</w:t>
            </w:r>
          </w:p>
        </w:tc>
      </w:tr>
    </w:tbl>
    <w:p w:rsidR="005C2054" w:rsidRPr="00E71156" w:rsidRDefault="005C2054" w:rsidP="00727E19">
      <w:pPr>
        <w:pStyle w:val="ListParagraph"/>
        <w:spacing w:line="360" w:lineRule="auto"/>
        <w:ind w:left="90"/>
        <w:jc w:val="both"/>
        <w:rPr>
          <w:rFonts w:ascii="Times New Roman" w:hAnsi="Times New Roman" w:cs="Times New Roman"/>
          <w:sz w:val="24"/>
          <w:szCs w:val="24"/>
        </w:rPr>
      </w:pPr>
    </w:p>
    <w:p w:rsidR="00072552" w:rsidRPr="00E71156" w:rsidRDefault="00072552" w:rsidP="00064D72">
      <w:pPr>
        <w:pStyle w:val="ListParagraph"/>
        <w:numPr>
          <w:ilvl w:val="0"/>
          <w:numId w:val="12"/>
        </w:numPr>
        <w:spacing w:line="360" w:lineRule="auto"/>
        <w:jc w:val="both"/>
        <w:rPr>
          <w:rFonts w:ascii="Times New Roman" w:eastAsia="SimSun" w:hAnsi="Times New Roman" w:cs="Times New Roman"/>
          <w:b/>
          <w:bCs/>
          <w:sz w:val="24"/>
          <w:szCs w:val="24"/>
          <w:u w:val="single"/>
          <w:lang w:val="en-IN" w:eastAsia="en-IN"/>
        </w:rPr>
      </w:pPr>
      <w:r w:rsidRPr="00E71156">
        <w:rPr>
          <w:rFonts w:ascii="Times New Roman" w:eastAsia="SimSun" w:hAnsi="Times New Roman" w:cs="Times New Roman"/>
          <w:b/>
          <w:bCs/>
          <w:sz w:val="24"/>
          <w:szCs w:val="24"/>
          <w:u w:val="single"/>
          <w:lang w:val="en-IN" w:eastAsia="en-IN"/>
        </w:rPr>
        <w:t>Analysis of various ARR components</w:t>
      </w:r>
    </w:p>
    <w:p w:rsidR="00072552" w:rsidRPr="00E71156" w:rsidRDefault="00064D72" w:rsidP="00727E19">
      <w:pPr>
        <w:pStyle w:val="ListParagraph"/>
        <w:spacing w:line="360" w:lineRule="auto"/>
        <w:ind w:left="90"/>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 xml:space="preserve">4.1 </w:t>
      </w:r>
      <w:r w:rsidR="00072552" w:rsidRPr="00E71156">
        <w:rPr>
          <w:rFonts w:ascii="Times New Roman" w:eastAsia="SimSun" w:hAnsi="Times New Roman" w:cs="Times New Roman"/>
          <w:b/>
          <w:bCs/>
          <w:sz w:val="24"/>
          <w:szCs w:val="24"/>
          <w:lang w:val="en-IN" w:eastAsia="en-IN"/>
        </w:rPr>
        <w:t xml:space="preserve"> Cost of Power Purchase</w:t>
      </w:r>
    </w:p>
    <w:p w:rsidR="00A302EF" w:rsidRPr="00E71156" w:rsidRDefault="00E31A26" w:rsidP="00727E19">
      <w:pPr>
        <w:autoSpaceDE w:val="0"/>
        <w:autoSpaceDN w:val="0"/>
        <w:adjustRightInd w:val="0"/>
        <w:spacing w:after="0" w:line="360" w:lineRule="auto"/>
        <w:ind w:firstLine="90"/>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sz w:val="24"/>
          <w:szCs w:val="24"/>
          <w:lang w:val="en-IN" w:eastAsia="en-IN"/>
        </w:rPr>
        <w:t xml:space="preserve">The actual power purchase quantum was </w:t>
      </w:r>
      <w:r w:rsidR="00B65567" w:rsidRPr="00E71156">
        <w:rPr>
          <w:rFonts w:ascii="Times New Roman" w:eastAsia="SimSun" w:hAnsi="Times New Roman" w:cs="Times New Roman"/>
          <w:sz w:val="24"/>
          <w:szCs w:val="24"/>
          <w:lang w:val="en-IN" w:eastAsia="en-IN"/>
        </w:rPr>
        <w:t>159.67</w:t>
      </w:r>
      <w:r w:rsidR="006F59C3" w:rsidRPr="00E71156">
        <w:rPr>
          <w:rFonts w:ascii="Times New Roman" w:eastAsia="SimSun" w:hAnsi="Times New Roman" w:cs="Times New Roman"/>
          <w:sz w:val="24"/>
          <w:szCs w:val="24"/>
          <w:lang w:val="en-IN" w:eastAsia="en-IN"/>
        </w:rPr>
        <w:t xml:space="preserve"> </w:t>
      </w:r>
      <w:r w:rsidR="00AB772A" w:rsidRPr="00E71156">
        <w:rPr>
          <w:rFonts w:ascii="Times New Roman" w:eastAsia="SimSun" w:hAnsi="Times New Roman" w:cs="Times New Roman"/>
          <w:sz w:val="24"/>
          <w:szCs w:val="24"/>
          <w:lang w:val="en-IN" w:eastAsia="en-IN"/>
        </w:rPr>
        <w:t>MU including self</w:t>
      </w:r>
      <w:r w:rsidR="00A302EF" w:rsidRPr="00E71156">
        <w:rPr>
          <w:rFonts w:ascii="Times New Roman" w:eastAsia="SimSun" w:hAnsi="Times New Roman" w:cs="Times New Roman"/>
          <w:sz w:val="24"/>
          <w:szCs w:val="24"/>
          <w:lang w:val="en-IN" w:eastAsia="en-IN"/>
        </w:rPr>
        <w:t xml:space="preserve"> generation of 0.55 MU and </w:t>
      </w:r>
      <w:r w:rsidR="00B65567" w:rsidRPr="00E71156">
        <w:rPr>
          <w:rFonts w:ascii="Times New Roman" w:eastAsia="SimSun" w:hAnsi="Times New Roman" w:cs="Times New Roman"/>
          <w:sz w:val="24"/>
          <w:szCs w:val="24"/>
          <w:lang w:val="en-IN" w:eastAsia="en-IN"/>
        </w:rPr>
        <w:t xml:space="preserve">0.51 MU </w:t>
      </w:r>
      <w:r w:rsidR="00650839" w:rsidRPr="00E71156">
        <w:rPr>
          <w:rFonts w:ascii="Times New Roman" w:eastAsia="SimSun" w:hAnsi="Times New Roman" w:cs="Times New Roman"/>
          <w:sz w:val="24"/>
          <w:szCs w:val="24"/>
          <w:lang w:val="en-IN" w:eastAsia="en-IN"/>
        </w:rPr>
        <w:t xml:space="preserve">injection by </w:t>
      </w:r>
      <w:r w:rsidRPr="00E71156">
        <w:rPr>
          <w:rFonts w:ascii="Times New Roman" w:eastAsia="SimSun" w:hAnsi="Times New Roman" w:cs="Times New Roman"/>
          <w:sz w:val="24"/>
          <w:szCs w:val="24"/>
          <w:lang w:val="en-IN" w:eastAsia="en-IN"/>
        </w:rPr>
        <w:t>solar prosumer</w:t>
      </w:r>
      <w:r w:rsidR="00A302EF" w:rsidRPr="00E71156">
        <w:rPr>
          <w:rFonts w:ascii="Times New Roman" w:eastAsia="SimSun" w:hAnsi="Times New Roman" w:cs="Times New Roman"/>
          <w:sz w:val="24"/>
          <w:szCs w:val="24"/>
          <w:lang w:val="en-IN" w:eastAsia="en-IN"/>
        </w:rPr>
        <w:t>s</w:t>
      </w:r>
      <w:r w:rsidRPr="00E71156">
        <w:rPr>
          <w:rFonts w:ascii="Times New Roman" w:eastAsia="SimSun" w:hAnsi="Times New Roman" w:cs="Times New Roman"/>
          <w:sz w:val="24"/>
          <w:szCs w:val="24"/>
          <w:lang w:val="en-IN" w:eastAsia="en-IN"/>
        </w:rPr>
        <w:t xml:space="preserve"> at a cost of Rs </w:t>
      </w:r>
      <w:r w:rsidR="00B65567" w:rsidRPr="00E71156">
        <w:rPr>
          <w:rFonts w:ascii="Times New Roman" w:eastAsia="SimSun" w:hAnsi="Times New Roman" w:cs="Times New Roman"/>
          <w:sz w:val="24"/>
          <w:szCs w:val="24"/>
          <w:lang w:val="en-IN" w:eastAsia="en-IN"/>
        </w:rPr>
        <w:t xml:space="preserve">13.85 </w:t>
      </w:r>
      <w:r w:rsidR="002A5A8C" w:rsidRPr="00E71156">
        <w:rPr>
          <w:rFonts w:ascii="Times New Roman" w:eastAsia="SimSun" w:hAnsi="Times New Roman" w:cs="Times New Roman"/>
          <w:sz w:val="24"/>
          <w:szCs w:val="24"/>
          <w:lang w:val="en-IN" w:eastAsia="en-IN"/>
        </w:rPr>
        <w:t>lakhs</w:t>
      </w:r>
      <w:r w:rsidRPr="00E71156">
        <w:rPr>
          <w:rFonts w:ascii="Times New Roman" w:eastAsia="SimSun" w:hAnsi="Times New Roman" w:cs="Times New Roman"/>
          <w:sz w:val="24"/>
          <w:szCs w:val="24"/>
          <w:lang w:val="en-IN" w:eastAsia="en-IN"/>
        </w:rPr>
        <w:t xml:space="preserve"> as detailed in </w:t>
      </w:r>
      <w:r w:rsidRPr="00E71156">
        <w:rPr>
          <w:rFonts w:ascii="Times New Roman" w:eastAsia="SimSun" w:hAnsi="Times New Roman" w:cs="Times New Roman"/>
          <w:b/>
          <w:bCs/>
          <w:sz w:val="24"/>
          <w:szCs w:val="24"/>
          <w:lang w:val="en-IN" w:eastAsia="en-IN"/>
        </w:rPr>
        <w:t>Form D3.1</w:t>
      </w:r>
      <w:r w:rsidR="007B6952">
        <w:rPr>
          <w:rFonts w:ascii="Times New Roman" w:eastAsia="SimSun" w:hAnsi="Times New Roman" w:cs="Times New Roman"/>
          <w:b/>
          <w:bCs/>
          <w:sz w:val="24"/>
          <w:szCs w:val="24"/>
          <w:lang w:val="en-IN" w:eastAsia="en-IN"/>
        </w:rPr>
        <w:t>(4)</w:t>
      </w:r>
    </w:p>
    <w:p w:rsidR="00B65567" w:rsidRPr="00E71156" w:rsidRDefault="00B65567" w:rsidP="00727E19">
      <w:pPr>
        <w:autoSpaceDE w:val="0"/>
        <w:autoSpaceDN w:val="0"/>
        <w:adjustRightInd w:val="0"/>
        <w:spacing w:after="0" w:line="360" w:lineRule="auto"/>
        <w:ind w:firstLine="90"/>
        <w:jc w:val="both"/>
        <w:rPr>
          <w:rFonts w:ascii="Times New Roman" w:eastAsia="SimSun" w:hAnsi="Times New Roman" w:cs="Times New Roman"/>
          <w:sz w:val="24"/>
          <w:szCs w:val="24"/>
          <w:lang w:val="en-IN" w:eastAsia="en-IN"/>
        </w:rPr>
      </w:pPr>
    </w:p>
    <w:p w:rsidR="00072552" w:rsidRPr="00E71156" w:rsidRDefault="00A302EF" w:rsidP="00727E19">
      <w:pPr>
        <w:pStyle w:val="ListParagraph"/>
        <w:spacing w:line="360" w:lineRule="auto"/>
        <w:ind w:left="90"/>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Solar P</w:t>
      </w:r>
      <w:r w:rsidR="001639AE" w:rsidRPr="00E71156">
        <w:rPr>
          <w:rFonts w:ascii="Times New Roman" w:eastAsia="SimSun" w:hAnsi="Times New Roman" w:cs="Times New Roman"/>
          <w:b/>
          <w:bCs/>
          <w:sz w:val="24"/>
          <w:szCs w:val="24"/>
          <w:lang w:val="en-IN" w:eastAsia="en-IN"/>
        </w:rPr>
        <w:t>rosumers</w:t>
      </w:r>
    </w:p>
    <w:p w:rsidR="00A302EF" w:rsidRDefault="00D17DCC"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 xml:space="preserve"> S</w:t>
      </w:r>
      <w:r w:rsidR="001639AE" w:rsidRPr="00E71156">
        <w:rPr>
          <w:rFonts w:ascii="Times New Roman" w:eastAsia="SimSun" w:hAnsi="Times New Roman" w:cs="Times New Roman"/>
          <w:sz w:val="24"/>
          <w:szCs w:val="24"/>
          <w:lang w:val="en-IN" w:eastAsia="en-IN"/>
        </w:rPr>
        <w:t>olar prosumers with a total</w:t>
      </w:r>
      <w:r w:rsidR="00244312" w:rsidRPr="00E71156">
        <w:rPr>
          <w:rFonts w:ascii="Times New Roman" w:eastAsia="SimSun" w:hAnsi="Times New Roman" w:cs="Times New Roman"/>
          <w:sz w:val="24"/>
          <w:szCs w:val="24"/>
          <w:lang w:val="en-IN" w:eastAsia="en-IN"/>
        </w:rPr>
        <w:t xml:space="preserve"> </w:t>
      </w:r>
      <w:r w:rsidR="001639AE" w:rsidRPr="00E71156">
        <w:rPr>
          <w:rFonts w:ascii="Times New Roman" w:eastAsia="SimSun" w:hAnsi="Times New Roman" w:cs="Times New Roman"/>
          <w:sz w:val="24"/>
          <w:szCs w:val="24"/>
          <w:lang w:val="en-IN" w:eastAsia="en-IN"/>
        </w:rPr>
        <w:t xml:space="preserve">installed capacity of </w:t>
      </w:r>
      <w:r w:rsidR="00A302EF" w:rsidRPr="00E71156">
        <w:rPr>
          <w:rFonts w:ascii="Times New Roman" w:eastAsia="SimSun" w:hAnsi="Times New Roman" w:cs="Times New Roman"/>
          <w:sz w:val="24"/>
          <w:szCs w:val="24"/>
          <w:lang w:val="en-IN" w:eastAsia="en-IN"/>
        </w:rPr>
        <w:t>3.524 M</w:t>
      </w:r>
      <w:r w:rsidR="001639AE" w:rsidRPr="00E71156">
        <w:rPr>
          <w:rFonts w:ascii="Times New Roman" w:eastAsia="SimSun" w:hAnsi="Times New Roman" w:cs="Times New Roman"/>
          <w:sz w:val="24"/>
          <w:szCs w:val="24"/>
          <w:lang w:val="en-IN" w:eastAsia="en-IN"/>
        </w:rPr>
        <w:t>W as on 31.03.202</w:t>
      </w:r>
      <w:r w:rsidR="00244312" w:rsidRPr="00E71156">
        <w:rPr>
          <w:rFonts w:ascii="Times New Roman" w:eastAsia="SimSun" w:hAnsi="Times New Roman" w:cs="Times New Roman"/>
          <w:sz w:val="24"/>
          <w:szCs w:val="24"/>
          <w:lang w:val="en-IN" w:eastAsia="en-IN"/>
        </w:rPr>
        <w:t>3</w:t>
      </w:r>
      <w:r w:rsidR="001639AE" w:rsidRPr="00E71156">
        <w:rPr>
          <w:rFonts w:ascii="Times New Roman" w:eastAsia="SimSun" w:hAnsi="Times New Roman" w:cs="Times New Roman"/>
          <w:sz w:val="24"/>
          <w:szCs w:val="24"/>
          <w:lang w:val="en-IN" w:eastAsia="en-IN"/>
        </w:rPr>
        <w:t xml:space="preserve"> also inject energy into the grid and consumes</w:t>
      </w:r>
      <w:r w:rsidR="00244312" w:rsidRPr="00E71156">
        <w:rPr>
          <w:rFonts w:ascii="Times New Roman" w:eastAsia="SimSun" w:hAnsi="Times New Roman" w:cs="Times New Roman"/>
          <w:sz w:val="24"/>
          <w:szCs w:val="24"/>
          <w:lang w:val="en-IN" w:eastAsia="en-IN"/>
        </w:rPr>
        <w:t xml:space="preserve"> </w:t>
      </w:r>
      <w:r w:rsidR="001639AE" w:rsidRPr="00E71156">
        <w:rPr>
          <w:rFonts w:ascii="Times New Roman" w:eastAsia="SimSun" w:hAnsi="Times New Roman" w:cs="Times New Roman"/>
          <w:sz w:val="24"/>
          <w:szCs w:val="24"/>
          <w:lang w:val="en-IN" w:eastAsia="en-IN"/>
        </w:rPr>
        <w:t>energy from the grid through banking arrangements. The energy in the bank at the end of settlement period is considered for settlement purposes.</w:t>
      </w:r>
      <w:r w:rsidRPr="00E71156">
        <w:rPr>
          <w:rFonts w:ascii="Times New Roman" w:eastAsia="SimSun" w:hAnsi="Times New Roman" w:cs="Times New Roman"/>
          <w:sz w:val="24"/>
          <w:szCs w:val="24"/>
          <w:lang w:val="en-IN" w:eastAsia="en-IN"/>
        </w:rPr>
        <w:t xml:space="preserve"> </w:t>
      </w:r>
      <w:r w:rsidR="001639AE" w:rsidRPr="00E71156">
        <w:rPr>
          <w:rFonts w:ascii="Times New Roman" w:eastAsia="SimSun" w:hAnsi="Times New Roman" w:cs="Times New Roman"/>
          <w:sz w:val="24"/>
          <w:szCs w:val="24"/>
          <w:lang w:val="en-IN" w:eastAsia="en-IN"/>
        </w:rPr>
        <w:t xml:space="preserve"> Hon’ble Commission vide order dated 16.02.2022 has approved the</w:t>
      </w:r>
      <w:r w:rsidR="00244312" w:rsidRPr="00E71156">
        <w:rPr>
          <w:rFonts w:ascii="Times New Roman" w:eastAsia="SimSun" w:hAnsi="Times New Roman" w:cs="Times New Roman"/>
          <w:sz w:val="24"/>
          <w:szCs w:val="24"/>
          <w:lang w:val="en-IN" w:eastAsia="en-IN"/>
        </w:rPr>
        <w:t xml:space="preserve"> A</w:t>
      </w:r>
      <w:r w:rsidR="001639AE" w:rsidRPr="00E71156">
        <w:rPr>
          <w:rFonts w:ascii="Times New Roman" w:eastAsia="SimSun" w:hAnsi="Times New Roman" w:cs="Times New Roman"/>
          <w:sz w:val="24"/>
          <w:szCs w:val="24"/>
          <w:lang w:val="en-IN" w:eastAsia="en-IN"/>
        </w:rPr>
        <w:t>PPC rate of FY 202</w:t>
      </w:r>
      <w:r w:rsidR="00244312" w:rsidRPr="00E71156">
        <w:rPr>
          <w:rFonts w:ascii="Times New Roman" w:eastAsia="SimSun" w:hAnsi="Times New Roman" w:cs="Times New Roman"/>
          <w:sz w:val="24"/>
          <w:szCs w:val="24"/>
          <w:lang w:val="en-IN" w:eastAsia="en-IN"/>
        </w:rPr>
        <w:t>2</w:t>
      </w:r>
      <w:r w:rsidR="001639AE" w:rsidRPr="00E71156">
        <w:rPr>
          <w:rFonts w:ascii="Times New Roman" w:eastAsia="SimSun" w:hAnsi="Times New Roman" w:cs="Times New Roman"/>
          <w:sz w:val="24"/>
          <w:szCs w:val="24"/>
          <w:lang w:val="en-IN" w:eastAsia="en-IN"/>
        </w:rPr>
        <w:t>-2</w:t>
      </w:r>
      <w:r w:rsidR="00244312" w:rsidRPr="00E71156">
        <w:rPr>
          <w:rFonts w:ascii="Times New Roman" w:eastAsia="SimSun" w:hAnsi="Times New Roman" w:cs="Times New Roman"/>
          <w:sz w:val="24"/>
          <w:szCs w:val="24"/>
          <w:lang w:val="en-IN" w:eastAsia="en-IN"/>
        </w:rPr>
        <w:t>3</w:t>
      </w:r>
      <w:r w:rsidR="001639AE" w:rsidRPr="00E71156">
        <w:rPr>
          <w:rFonts w:ascii="Times New Roman" w:eastAsia="SimSun" w:hAnsi="Times New Roman" w:cs="Times New Roman"/>
          <w:sz w:val="24"/>
          <w:szCs w:val="24"/>
          <w:lang w:val="en-IN" w:eastAsia="en-IN"/>
        </w:rPr>
        <w:t xml:space="preserve"> was Rs </w:t>
      </w:r>
      <w:r w:rsidR="00244312" w:rsidRPr="00E71156">
        <w:rPr>
          <w:rFonts w:ascii="Times New Roman" w:eastAsia="SimSun" w:hAnsi="Times New Roman" w:cs="Times New Roman"/>
          <w:sz w:val="24"/>
          <w:szCs w:val="24"/>
          <w:lang w:val="en-IN" w:eastAsia="en-IN"/>
        </w:rPr>
        <w:t>2.69</w:t>
      </w:r>
      <w:r w:rsidR="001639AE" w:rsidRPr="00E71156">
        <w:rPr>
          <w:rFonts w:ascii="Times New Roman" w:eastAsia="SimSun" w:hAnsi="Times New Roman" w:cs="Times New Roman"/>
          <w:sz w:val="24"/>
          <w:szCs w:val="24"/>
          <w:lang w:val="en-IN" w:eastAsia="en-IN"/>
        </w:rPr>
        <w:t xml:space="preserve"> per unit. The energy settled at the</w:t>
      </w:r>
      <w:r w:rsidR="00244312" w:rsidRPr="00E71156">
        <w:rPr>
          <w:rFonts w:ascii="Times New Roman" w:eastAsia="SimSun" w:hAnsi="Times New Roman" w:cs="Times New Roman"/>
          <w:sz w:val="24"/>
          <w:szCs w:val="24"/>
          <w:lang w:val="en-IN" w:eastAsia="en-IN"/>
        </w:rPr>
        <w:t xml:space="preserve"> </w:t>
      </w:r>
      <w:r w:rsidR="001639AE" w:rsidRPr="00E71156">
        <w:rPr>
          <w:rFonts w:ascii="Times New Roman" w:eastAsia="SimSun" w:hAnsi="Times New Roman" w:cs="Times New Roman"/>
          <w:sz w:val="24"/>
          <w:szCs w:val="24"/>
          <w:lang w:val="en-IN" w:eastAsia="en-IN"/>
        </w:rPr>
        <w:t xml:space="preserve">end of settlement period for solar prosumers was </w:t>
      </w:r>
      <w:r w:rsidR="00244312" w:rsidRPr="00E71156">
        <w:rPr>
          <w:rFonts w:ascii="Times New Roman" w:eastAsia="SimSun" w:hAnsi="Times New Roman" w:cs="Times New Roman"/>
          <w:sz w:val="24"/>
          <w:szCs w:val="24"/>
          <w:lang w:val="en-IN" w:eastAsia="en-IN"/>
        </w:rPr>
        <w:t>0.51</w:t>
      </w:r>
      <w:r w:rsidR="001639AE" w:rsidRPr="00E71156">
        <w:rPr>
          <w:rFonts w:ascii="Times New Roman" w:eastAsia="SimSun" w:hAnsi="Times New Roman" w:cs="Times New Roman"/>
          <w:sz w:val="24"/>
          <w:szCs w:val="24"/>
          <w:lang w:val="en-IN" w:eastAsia="en-IN"/>
        </w:rPr>
        <w:t>MU and the total settlement amount</w:t>
      </w:r>
      <w:r w:rsidR="00244312" w:rsidRPr="00E71156">
        <w:rPr>
          <w:rFonts w:ascii="Times New Roman" w:eastAsia="SimSun" w:hAnsi="Times New Roman" w:cs="Times New Roman"/>
          <w:sz w:val="24"/>
          <w:szCs w:val="24"/>
          <w:lang w:val="en-IN" w:eastAsia="en-IN"/>
        </w:rPr>
        <w:t xml:space="preserve"> </w:t>
      </w:r>
      <w:r w:rsidR="001639AE" w:rsidRPr="00E71156">
        <w:rPr>
          <w:rFonts w:ascii="Times New Roman" w:eastAsia="SimSun" w:hAnsi="Times New Roman" w:cs="Times New Roman"/>
          <w:sz w:val="24"/>
          <w:szCs w:val="24"/>
          <w:lang w:val="en-IN" w:eastAsia="en-IN"/>
        </w:rPr>
        <w:t>at APPC rate is Rs</w:t>
      </w:r>
      <w:r w:rsidR="00CC017D" w:rsidRPr="00E71156">
        <w:rPr>
          <w:rFonts w:ascii="Times New Roman" w:eastAsia="SimSun" w:hAnsi="Times New Roman" w:cs="Times New Roman"/>
          <w:sz w:val="24"/>
          <w:szCs w:val="24"/>
          <w:lang w:val="en-IN" w:eastAsia="en-IN"/>
        </w:rPr>
        <w:t>.</w:t>
      </w:r>
      <w:r w:rsidR="00B65567" w:rsidRPr="00E71156">
        <w:rPr>
          <w:rFonts w:ascii="Times New Roman" w:eastAsia="SimSun" w:hAnsi="Times New Roman" w:cs="Times New Roman"/>
          <w:sz w:val="24"/>
          <w:szCs w:val="24"/>
          <w:lang w:val="en-IN" w:eastAsia="en-IN"/>
        </w:rPr>
        <w:t xml:space="preserve">13.85 </w:t>
      </w:r>
      <w:r w:rsidR="00CC017D" w:rsidRPr="00E71156">
        <w:rPr>
          <w:rFonts w:ascii="Times New Roman" w:eastAsia="SimSun" w:hAnsi="Times New Roman" w:cs="Times New Roman"/>
          <w:sz w:val="24"/>
          <w:szCs w:val="24"/>
          <w:lang w:val="en-IN" w:eastAsia="en-IN"/>
        </w:rPr>
        <w:t>lakhs</w:t>
      </w:r>
    </w:p>
    <w:p w:rsidR="00A55241" w:rsidRPr="00E71156" w:rsidRDefault="00A55241"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p>
    <w:p w:rsidR="00A302EF" w:rsidRPr="00E71156" w:rsidRDefault="00A302EF" w:rsidP="00727E19">
      <w:pPr>
        <w:autoSpaceDE w:val="0"/>
        <w:autoSpaceDN w:val="0"/>
        <w:adjustRightInd w:val="0"/>
        <w:spacing w:after="0" w:line="360" w:lineRule="auto"/>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sz w:val="24"/>
          <w:szCs w:val="24"/>
          <w:lang w:val="en-IN" w:eastAsia="en-IN"/>
        </w:rPr>
        <w:t xml:space="preserve"> </w:t>
      </w:r>
      <w:r w:rsidR="008066F8" w:rsidRPr="00E71156">
        <w:rPr>
          <w:rFonts w:ascii="Times New Roman" w:eastAsia="SimSun" w:hAnsi="Times New Roman" w:cs="Times New Roman"/>
          <w:b/>
          <w:sz w:val="24"/>
          <w:szCs w:val="24"/>
          <w:lang w:val="en-IN" w:eastAsia="en-IN"/>
        </w:rPr>
        <w:t>Impact of Solar P</w:t>
      </w:r>
      <w:r w:rsidRPr="00E71156">
        <w:rPr>
          <w:rFonts w:ascii="Times New Roman" w:eastAsia="SimSun" w:hAnsi="Times New Roman" w:cs="Times New Roman"/>
          <w:b/>
          <w:sz w:val="24"/>
          <w:szCs w:val="24"/>
          <w:lang w:val="en-IN" w:eastAsia="en-IN"/>
        </w:rPr>
        <w:t>rosumers</w:t>
      </w:r>
    </w:p>
    <w:p w:rsidR="00CC017D" w:rsidRPr="00E71156" w:rsidRDefault="00CC017D"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b/>
          <w:sz w:val="24"/>
          <w:szCs w:val="24"/>
          <w:lang w:val="en-IN" w:eastAsia="en-IN"/>
        </w:rPr>
        <w:tab/>
      </w:r>
      <w:r w:rsidRPr="00E71156">
        <w:rPr>
          <w:rFonts w:ascii="Times New Roman" w:eastAsia="SimSun" w:hAnsi="Times New Roman" w:cs="Times New Roman"/>
          <w:sz w:val="24"/>
          <w:szCs w:val="24"/>
          <w:lang w:val="en-IN" w:eastAsia="en-IN"/>
        </w:rPr>
        <w:t xml:space="preserve">During the financial year 2022-23, solar prosumers generated 3.67 MU and at the same time banked units is 0.51MU and that was settled at </w:t>
      </w:r>
      <w:r w:rsidR="00A33C32" w:rsidRPr="00E71156">
        <w:rPr>
          <w:rFonts w:ascii="Times New Roman" w:eastAsia="SimSun" w:hAnsi="Times New Roman" w:cs="Times New Roman"/>
          <w:sz w:val="24"/>
          <w:szCs w:val="24"/>
          <w:lang w:val="en-IN" w:eastAsia="en-IN"/>
        </w:rPr>
        <w:t xml:space="preserve">an </w:t>
      </w:r>
      <w:r w:rsidRPr="00E71156">
        <w:rPr>
          <w:rFonts w:ascii="Times New Roman" w:eastAsia="SimSun" w:hAnsi="Times New Roman" w:cs="Times New Roman"/>
          <w:sz w:val="24"/>
          <w:szCs w:val="24"/>
          <w:lang w:val="en-IN" w:eastAsia="en-IN"/>
        </w:rPr>
        <w:t xml:space="preserve">average  APPC rate of </w:t>
      </w:r>
      <w:r w:rsidR="00CC0D7E" w:rsidRPr="00E71156">
        <w:rPr>
          <w:rFonts w:ascii="Times New Roman" w:eastAsia="SimSun" w:hAnsi="Times New Roman" w:cs="Times New Roman"/>
          <w:sz w:val="24"/>
          <w:szCs w:val="24"/>
          <w:lang w:val="en-IN" w:eastAsia="en-IN"/>
        </w:rPr>
        <w:t xml:space="preserve">Rs. </w:t>
      </w:r>
      <w:r w:rsidRPr="00E71156">
        <w:rPr>
          <w:rFonts w:ascii="Times New Roman" w:eastAsia="SimSun" w:hAnsi="Times New Roman" w:cs="Times New Roman"/>
          <w:sz w:val="24"/>
          <w:szCs w:val="24"/>
          <w:lang w:val="en-IN" w:eastAsia="en-IN"/>
        </w:rPr>
        <w:t>2</w:t>
      </w:r>
      <w:r w:rsidR="00A33C32" w:rsidRPr="00E71156">
        <w:rPr>
          <w:rFonts w:ascii="Times New Roman" w:eastAsia="SimSun" w:hAnsi="Times New Roman" w:cs="Times New Roman"/>
          <w:sz w:val="24"/>
          <w:szCs w:val="24"/>
          <w:lang w:val="en-IN" w:eastAsia="en-IN"/>
        </w:rPr>
        <w:t>.9</w:t>
      </w:r>
      <w:r w:rsidRPr="00E71156">
        <w:rPr>
          <w:rFonts w:ascii="Times New Roman" w:eastAsia="SimSun" w:hAnsi="Times New Roman" w:cs="Times New Roman"/>
          <w:sz w:val="24"/>
          <w:szCs w:val="24"/>
          <w:lang w:val="en-IN" w:eastAsia="en-IN"/>
        </w:rPr>
        <w:t>6</w:t>
      </w:r>
      <w:r w:rsidR="00A33C32" w:rsidRPr="00E71156">
        <w:rPr>
          <w:rFonts w:ascii="Times New Roman" w:eastAsia="SimSun" w:hAnsi="Times New Roman" w:cs="Times New Roman"/>
          <w:sz w:val="24"/>
          <w:szCs w:val="24"/>
          <w:lang w:val="en-IN" w:eastAsia="en-IN"/>
        </w:rPr>
        <w:t xml:space="preserve">/unit. For net profit calculation purpose if it is assumed that in the absence of solar generation, these prosumers would have purchased 3.67 MU at an average rate of </w:t>
      </w:r>
      <w:r w:rsidR="00CC0D7E" w:rsidRPr="00E71156">
        <w:rPr>
          <w:rFonts w:ascii="Times New Roman" w:eastAsia="SimSun" w:hAnsi="Times New Roman" w:cs="Times New Roman"/>
          <w:sz w:val="24"/>
          <w:szCs w:val="24"/>
          <w:lang w:val="en-IN" w:eastAsia="en-IN"/>
        </w:rPr>
        <w:t xml:space="preserve">Rs. </w:t>
      </w:r>
      <w:r w:rsidR="00A33C32" w:rsidRPr="00E71156">
        <w:rPr>
          <w:rFonts w:ascii="Times New Roman" w:eastAsia="SimSun" w:hAnsi="Times New Roman" w:cs="Times New Roman"/>
          <w:sz w:val="24"/>
          <w:szCs w:val="24"/>
          <w:lang w:val="en-IN" w:eastAsia="en-IN"/>
        </w:rPr>
        <w:t>8.92 / unit and tha</w:t>
      </w:r>
      <w:r w:rsidR="00F262A4" w:rsidRPr="00E71156">
        <w:rPr>
          <w:rFonts w:ascii="Times New Roman" w:eastAsia="SimSun" w:hAnsi="Times New Roman" w:cs="Times New Roman"/>
          <w:sz w:val="24"/>
          <w:szCs w:val="24"/>
          <w:lang w:val="en-IN" w:eastAsia="en-IN"/>
        </w:rPr>
        <w:t>t amount will come to Rs.3.28 C</w:t>
      </w:r>
      <w:r w:rsidR="00A33C32" w:rsidRPr="00E71156">
        <w:rPr>
          <w:rFonts w:ascii="Times New Roman" w:eastAsia="SimSun" w:hAnsi="Times New Roman" w:cs="Times New Roman"/>
          <w:sz w:val="24"/>
          <w:szCs w:val="24"/>
          <w:lang w:val="en-IN" w:eastAsia="en-IN"/>
        </w:rPr>
        <w:t>r. If the same units purchased from KSEB by TCED at an average rate of Rs 7.33/unit , that a</w:t>
      </w:r>
      <w:r w:rsidR="00CC0D7E" w:rsidRPr="00E71156">
        <w:rPr>
          <w:rFonts w:ascii="Times New Roman" w:eastAsia="SimSun" w:hAnsi="Times New Roman" w:cs="Times New Roman"/>
          <w:sz w:val="24"/>
          <w:szCs w:val="24"/>
          <w:lang w:val="en-IN" w:eastAsia="en-IN"/>
        </w:rPr>
        <w:t>mount will come to only Rs.2.7 C</w:t>
      </w:r>
      <w:r w:rsidR="00A33C32" w:rsidRPr="00E71156">
        <w:rPr>
          <w:rFonts w:ascii="Times New Roman" w:eastAsia="SimSun" w:hAnsi="Times New Roman" w:cs="Times New Roman"/>
          <w:sz w:val="24"/>
          <w:szCs w:val="24"/>
          <w:lang w:val="en-IN" w:eastAsia="en-IN"/>
        </w:rPr>
        <w:t xml:space="preserve">r And the anticipated profit on account of this will come to </w:t>
      </w:r>
      <w:r w:rsidR="00CC0D7E" w:rsidRPr="00E71156">
        <w:rPr>
          <w:rFonts w:ascii="Times New Roman" w:eastAsia="SimSun" w:hAnsi="Times New Roman" w:cs="Times New Roman"/>
          <w:sz w:val="24"/>
          <w:szCs w:val="24"/>
          <w:lang w:val="en-IN" w:eastAsia="en-IN"/>
        </w:rPr>
        <w:t>Rs.0.58 C</w:t>
      </w:r>
      <w:r w:rsidR="00A33C32" w:rsidRPr="00E71156">
        <w:rPr>
          <w:rFonts w:ascii="Times New Roman" w:eastAsia="SimSun" w:hAnsi="Times New Roman" w:cs="Times New Roman"/>
          <w:sz w:val="24"/>
          <w:szCs w:val="24"/>
          <w:lang w:val="en-IN" w:eastAsia="en-IN"/>
        </w:rPr>
        <w:t>r.</w:t>
      </w:r>
    </w:p>
    <w:p w:rsidR="00A33C32" w:rsidRPr="00E71156" w:rsidRDefault="00A33C32"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ab/>
        <w:t>In the actual scenario, TCED purchased 0.51 units at the average APPC rate of Rs.2.</w:t>
      </w:r>
      <w:r w:rsidR="00B65567" w:rsidRPr="00E71156">
        <w:rPr>
          <w:rFonts w:ascii="Times New Roman" w:eastAsia="SimSun" w:hAnsi="Times New Roman" w:cs="Times New Roman"/>
          <w:sz w:val="24"/>
          <w:szCs w:val="24"/>
          <w:lang w:val="en-IN" w:eastAsia="en-IN"/>
        </w:rPr>
        <w:t>69</w:t>
      </w:r>
      <w:r w:rsidRPr="00E71156">
        <w:rPr>
          <w:rFonts w:ascii="Times New Roman" w:eastAsia="SimSun" w:hAnsi="Times New Roman" w:cs="Times New Roman"/>
          <w:sz w:val="24"/>
          <w:szCs w:val="24"/>
          <w:lang w:val="en-IN" w:eastAsia="en-IN"/>
        </w:rPr>
        <w:t xml:space="preserve">/unit from the prosumers </w:t>
      </w:r>
      <w:r w:rsidR="00D92BAE" w:rsidRPr="00E71156">
        <w:rPr>
          <w:rFonts w:ascii="Times New Roman" w:eastAsia="SimSun" w:hAnsi="Times New Roman" w:cs="Times New Roman"/>
          <w:sz w:val="24"/>
          <w:szCs w:val="24"/>
          <w:lang w:val="en-IN" w:eastAsia="en-IN"/>
        </w:rPr>
        <w:t xml:space="preserve">and the total amount spent on this is </w:t>
      </w:r>
      <w:r w:rsidR="003B7AB4" w:rsidRPr="00E71156">
        <w:rPr>
          <w:rFonts w:ascii="Times New Roman" w:eastAsia="SimSun" w:hAnsi="Times New Roman" w:cs="Times New Roman"/>
          <w:sz w:val="24"/>
          <w:szCs w:val="24"/>
          <w:lang w:val="en-IN" w:eastAsia="en-IN"/>
        </w:rPr>
        <w:t>0.14</w:t>
      </w:r>
      <w:r w:rsidR="00C17CF7" w:rsidRPr="00E71156">
        <w:rPr>
          <w:rFonts w:ascii="Times New Roman" w:eastAsia="SimSun" w:hAnsi="Times New Roman" w:cs="Times New Roman"/>
          <w:sz w:val="24"/>
          <w:szCs w:val="24"/>
          <w:lang w:val="en-IN" w:eastAsia="en-IN"/>
        </w:rPr>
        <w:t xml:space="preserve"> C</w:t>
      </w:r>
      <w:r w:rsidR="00B65567" w:rsidRPr="00E71156">
        <w:rPr>
          <w:rFonts w:ascii="Times New Roman" w:eastAsia="SimSun" w:hAnsi="Times New Roman" w:cs="Times New Roman"/>
          <w:sz w:val="24"/>
          <w:szCs w:val="24"/>
          <w:lang w:val="en-IN" w:eastAsia="en-IN"/>
        </w:rPr>
        <w:t>r</w:t>
      </w:r>
      <w:r w:rsidR="00D92BAE" w:rsidRPr="00E71156">
        <w:rPr>
          <w:rFonts w:ascii="Times New Roman" w:eastAsia="SimSun" w:hAnsi="Times New Roman" w:cs="Times New Roman"/>
          <w:sz w:val="24"/>
          <w:szCs w:val="24"/>
          <w:lang w:val="en-IN" w:eastAsia="en-IN"/>
        </w:rPr>
        <w:t>. T</w:t>
      </w:r>
      <w:r w:rsidR="00C17CF7" w:rsidRPr="00E71156">
        <w:rPr>
          <w:rFonts w:ascii="Times New Roman" w:eastAsia="SimSun" w:hAnsi="Times New Roman" w:cs="Times New Roman"/>
          <w:sz w:val="24"/>
          <w:szCs w:val="24"/>
          <w:lang w:val="en-IN" w:eastAsia="en-IN"/>
        </w:rPr>
        <w:t xml:space="preserve">CED received an </w:t>
      </w:r>
      <w:r w:rsidR="00AA15E2" w:rsidRPr="00E71156">
        <w:rPr>
          <w:rFonts w:ascii="Times New Roman" w:eastAsia="SimSun" w:hAnsi="Times New Roman" w:cs="Times New Roman"/>
          <w:sz w:val="24"/>
          <w:szCs w:val="24"/>
          <w:lang w:val="en-IN" w:eastAsia="en-IN"/>
        </w:rPr>
        <w:t xml:space="preserve"> </w:t>
      </w:r>
      <w:r w:rsidR="00C17CF7" w:rsidRPr="00E71156">
        <w:rPr>
          <w:rFonts w:ascii="Times New Roman" w:eastAsia="SimSun" w:hAnsi="Times New Roman" w:cs="Times New Roman"/>
          <w:sz w:val="24"/>
          <w:szCs w:val="24"/>
          <w:lang w:val="en-IN" w:eastAsia="en-IN"/>
        </w:rPr>
        <w:t>amount of 0.45 C</w:t>
      </w:r>
      <w:r w:rsidR="00D92BAE" w:rsidRPr="00E71156">
        <w:rPr>
          <w:rFonts w:ascii="Times New Roman" w:eastAsia="SimSun" w:hAnsi="Times New Roman" w:cs="Times New Roman"/>
          <w:sz w:val="24"/>
          <w:szCs w:val="24"/>
          <w:lang w:val="en-IN" w:eastAsia="en-IN"/>
        </w:rPr>
        <w:t>r by selling it an average selling rate of Rs.</w:t>
      </w:r>
      <w:r w:rsidR="00CC0D7E" w:rsidRPr="00E71156">
        <w:rPr>
          <w:rFonts w:ascii="Times New Roman" w:eastAsia="SimSun" w:hAnsi="Times New Roman" w:cs="Times New Roman"/>
          <w:sz w:val="24"/>
          <w:szCs w:val="24"/>
          <w:lang w:val="en-IN" w:eastAsia="en-IN"/>
        </w:rPr>
        <w:t xml:space="preserve"> </w:t>
      </w:r>
      <w:r w:rsidR="00D92BAE" w:rsidRPr="00E71156">
        <w:rPr>
          <w:rFonts w:ascii="Times New Roman" w:eastAsia="SimSun" w:hAnsi="Times New Roman" w:cs="Times New Roman"/>
          <w:sz w:val="24"/>
          <w:szCs w:val="24"/>
          <w:lang w:val="en-IN" w:eastAsia="en-IN"/>
        </w:rPr>
        <w:t>8.92 / unit. The actual prof</w:t>
      </w:r>
      <w:r w:rsidR="003B7AB4" w:rsidRPr="00E71156">
        <w:rPr>
          <w:rFonts w:ascii="Times New Roman" w:eastAsia="SimSun" w:hAnsi="Times New Roman" w:cs="Times New Roman"/>
          <w:sz w:val="24"/>
          <w:szCs w:val="24"/>
          <w:lang w:val="en-IN" w:eastAsia="en-IN"/>
        </w:rPr>
        <w:t xml:space="preserve">it generated out of this is </w:t>
      </w:r>
      <w:r w:rsidR="00CC0D7E" w:rsidRPr="00E71156">
        <w:rPr>
          <w:rFonts w:ascii="Times New Roman" w:eastAsia="SimSun" w:hAnsi="Times New Roman" w:cs="Times New Roman"/>
          <w:sz w:val="24"/>
          <w:szCs w:val="24"/>
          <w:lang w:val="en-IN" w:eastAsia="en-IN"/>
        </w:rPr>
        <w:t xml:space="preserve">Rs. </w:t>
      </w:r>
      <w:r w:rsidR="003B7AB4" w:rsidRPr="00E71156">
        <w:rPr>
          <w:rFonts w:ascii="Times New Roman" w:eastAsia="SimSun" w:hAnsi="Times New Roman" w:cs="Times New Roman"/>
          <w:sz w:val="24"/>
          <w:szCs w:val="24"/>
          <w:lang w:val="en-IN" w:eastAsia="en-IN"/>
        </w:rPr>
        <w:t>0.32</w:t>
      </w:r>
      <w:r w:rsidR="00CC0D7E" w:rsidRPr="00E71156">
        <w:rPr>
          <w:rFonts w:ascii="Times New Roman" w:eastAsia="SimSun" w:hAnsi="Times New Roman" w:cs="Times New Roman"/>
          <w:sz w:val="24"/>
          <w:szCs w:val="24"/>
          <w:lang w:val="en-IN" w:eastAsia="en-IN"/>
        </w:rPr>
        <w:t xml:space="preserve"> C</w:t>
      </w:r>
      <w:r w:rsidR="00D92BAE" w:rsidRPr="00E71156">
        <w:rPr>
          <w:rFonts w:ascii="Times New Roman" w:eastAsia="SimSun" w:hAnsi="Times New Roman" w:cs="Times New Roman"/>
          <w:sz w:val="24"/>
          <w:szCs w:val="24"/>
          <w:lang w:val="en-IN" w:eastAsia="en-IN"/>
        </w:rPr>
        <w:t>r.</w:t>
      </w:r>
    </w:p>
    <w:p w:rsidR="00D92BAE" w:rsidRPr="00E71156" w:rsidRDefault="00D92BAE"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lastRenderedPageBreak/>
        <w:tab/>
        <w:t>The net loss out of these</w:t>
      </w:r>
      <w:r w:rsidR="003B7AB4" w:rsidRPr="00E71156">
        <w:rPr>
          <w:rFonts w:ascii="Times New Roman" w:eastAsia="SimSun" w:hAnsi="Times New Roman" w:cs="Times New Roman"/>
          <w:sz w:val="24"/>
          <w:szCs w:val="24"/>
          <w:lang w:val="en-IN" w:eastAsia="en-IN"/>
        </w:rPr>
        <w:t xml:space="preserve"> calculations amounts to Rs.0.27</w:t>
      </w:r>
      <w:r w:rsidR="00610A1F" w:rsidRPr="00E71156">
        <w:rPr>
          <w:rFonts w:ascii="Times New Roman" w:eastAsia="SimSun" w:hAnsi="Times New Roman" w:cs="Times New Roman"/>
          <w:sz w:val="24"/>
          <w:szCs w:val="24"/>
          <w:lang w:val="en-IN" w:eastAsia="en-IN"/>
        </w:rPr>
        <w:t xml:space="preserve"> C</w:t>
      </w:r>
      <w:r w:rsidRPr="00E71156">
        <w:rPr>
          <w:rFonts w:ascii="Times New Roman" w:eastAsia="SimSun" w:hAnsi="Times New Roman" w:cs="Times New Roman"/>
          <w:sz w:val="24"/>
          <w:szCs w:val="24"/>
          <w:lang w:val="en-IN" w:eastAsia="en-IN"/>
        </w:rPr>
        <w:t xml:space="preserve">r. Now TCED has implemented MNRE’s roof top solar </w:t>
      </w:r>
      <w:r w:rsidR="00EB7424" w:rsidRPr="00E71156">
        <w:rPr>
          <w:rFonts w:ascii="Times New Roman" w:eastAsia="SimSun" w:hAnsi="Times New Roman" w:cs="Times New Roman"/>
          <w:sz w:val="24"/>
          <w:szCs w:val="24"/>
          <w:lang w:val="en-IN" w:eastAsia="en-IN"/>
        </w:rPr>
        <w:t>subsidy</w:t>
      </w:r>
      <w:r w:rsidRPr="00E71156">
        <w:rPr>
          <w:rFonts w:ascii="Times New Roman" w:eastAsia="SimSun" w:hAnsi="Times New Roman" w:cs="Times New Roman"/>
          <w:sz w:val="24"/>
          <w:szCs w:val="24"/>
          <w:lang w:val="en-IN" w:eastAsia="en-IN"/>
        </w:rPr>
        <w:t xml:space="preserve"> for domestic consumers and has commissioned </w:t>
      </w:r>
      <w:r w:rsidR="00086B39" w:rsidRPr="00E71156">
        <w:rPr>
          <w:rFonts w:ascii="Times New Roman" w:eastAsia="SimSun" w:hAnsi="Times New Roman" w:cs="Times New Roman"/>
          <w:sz w:val="24"/>
          <w:szCs w:val="24"/>
          <w:lang w:val="en-IN" w:eastAsia="en-IN"/>
        </w:rPr>
        <w:t>778</w:t>
      </w:r>
      <w:r w:rsidRPr="00E71156">
        <w:rPr>
          <w:rFonts w:ascii="Times New Roman" w:eastAsia="SimSun" w:hAnsi="Times New Roman" w:cs="Times New Roman"/>
          <w:sz w:val="24"/>
          <w:szCs w:val="24"/>
          <w:lang w:val="en-IN" w:eastAsia="en-IN"/>
        </w:rPr>
        <w:t xml:space="preserve"> kWp under this scheme</w:t>
      </w:r>
      <w:r w:rsidR="00EB7424" w:rsidRPr="00E71156">
        <w:rPr>
          <w:rFonts w:ascii="Times New Roman" w:eastAsia="SimSun" w:hAnsi="Times New Roman" w:cs="Times New Roman"/>
          <w:sz w:val="24"/>
          <w:szCs w:val="24"/>
          <w:lang w:val="en-IN" w:eastAsia="en-IN"/>
        </w:rPr>
        <w:t xml:space="preserve"> within a span of 5 months</w:t>
      </w:r>
      <w:r w:rsidR="00727E19" w:rsidRPr="00E71156">
        <w:rPr>
          <w:rFonts w:ascii="Times New Roman" w:eastAsia="SimSun" w:hAnsi="Times New Roman" w:cs="Times New Roman"/>
          <w:sz w:val="24"/>
          <w:szCs w:val="24"/>
          <w:lang w:val="en-IN" w:eastAsia="en-IN"/>
        </w:rPr>
        <w:t xml:space="preserve"> </w:t>
      </w:r>
      <w:r w:rsidR="00EB7424" w:rsidRPr="00E71156">
        <w:rPr>
          <w:rFonts w:ascii="Times New Roman" w:eastAsia="SimSun" w:hAnsi="Times New Roman" w:cs="Times New Roman"/>
          <w:sz w:val="24"/>
          <w:szCs w:val="24"/>
          <w:lang w:val="en-IN" w:eastAsia="en-IN"/>
        </w:rPr>
        <w:t>(</w:t>
      </w:r>
      <w:r w:rsidR="00086B39" w:rsidRPr="00E71156">
        <w:rPr>
          <w:rFonts w:ascii="Times New Roman" w:eastAsia="SimSun" w:hAnsi="Times New Roman" w:cs="Times New Roman"/>
          <w:sz w:val="24"/>
          <w:szCs w:val="24"/>
          <w:lang w:val="en-IN" w:eastAsia="en-IN"/>
        </w:rPr>
        <w:t>129</w:t>
      </w:r>
      <w:r w:rsidR="00EB7424" w:rsidRPr="00E71156">
        <w:rPr>
          <w:rFonts w:ascii="Times New Roman" w:eastAsia="SimSun" w:hAnsi="Times New Roman" w:cs="Times New Roman"/>
          <w:sz w:val="24"/>
          <w:szCs w:val="24"/>
          <w:lang w:val="en-IN" w:eastAsia="en-IN"/>
        </w:rPr>
        <w:t xml:space="preserve"> Consumers)</w:t>
      </w:r>
      <w:r w:rsidRPr="00E71156">
        <w:rPr>
          <w:rFonts w:ascii="Times New Roman" w:eastAsia="SimSun" w:hAnsi="Times New Roman" w:cs="Times New Roman"/>
          <w:sz w:val="24"/>
          <w:szCs w:val="24"/>
          <w:lang w:val="en-IN" w:eastAsia="en-IN"/>
        </w:rPr>
        <w:t>. Many more consumers are showing interest in the scheme and it will have a negative impact on TCED’s net sales and profit. Therefore TCED requests the Hon’ble KSERC to consider this while approving the tariff order in future.</w:t>
      </w:r>
    </w:p>
    <w:p w:rsidR="00D92BAE" w:rsidRPr="00E71156" w:rsidRDefault="00D92BAE" w:rsidP="00727E19">
      <w:pPr>
        <w:pStyle w:val="ListParagraph"/>
        <w:spacing w:line="360" w:lineRule="auto"/>
        <w:ind w:left="90"/>
        <w:jc w:val="both"/>
        <w:rPr>
          <w:rFonts w:ascii="Times New Roman" w:eastAsia="SimSun" w:hAnsi="Times New Roman" w:cs="Times New Roman"/>
          <w:b/>
          <w:sz w:val="24"/>
          <w:szCs w:val="24"/>
          <w:lang w:val="en-IN" w:eastAsia="en-IN"/>
        </w:rPr>
      </w:pPr>
    </w:p>
    <w:p w:rsidR="00F6247C" w:rsidRPr="00E71156" w:rsidRDefault="00EC1CF8" w:rsidP="00727E19">
      <w:pPr>
        <w:pStyle w:val="ListParagraph"/>
        <w:spacing w:line="360" w:lineRule="auto"/>
        <w:ind w:left="90"/>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4</w:t>
      </w:r>
      <w:r w:rsidR="00064D72" w:rsidRPr="00E71156">
        <w:rPr>
          <w:rFonts w:ascii="Times New Roman" w:eastAsia="SimSun" w:hAnsi="Times New Roman" w:cs="Times New Roman"/>
          <w:b/>
          <w:sz w:val="24"/>
          <w:szCs w:val="24"/>
          <w:lang w:val="en-IN" w:eastAsia="en-IN"/>
        </w:rPr>
        <w:t xml:space="preserve">.2 </w:t>
      </w:r>
      <w:r w:rsidRPr="00E71156">
        <w:rPr>
          <w:rFonts w:ascii="Times New Roman" w:eastAsia="SimSun" w:hAnsi="Times New Roman" w:cs="Times New Roman"/>
          <w:b/>
          <w:sz w:val="24"/>
          <w:szCs w:val="24"/>
          <w:lang w:val="en-IN" w:eastAsia="en-IN"/>
        </w:rPr>
        <w:t xml:space="preserve"> </w:t>
      </w:r>
      <w:r w:rsidR="00F6247C" w:rsidRPr="00E71156">
        <w:rPr>
          <w:rFonts w:ascii="Times New Roman" w:eastAsia="SimSun" w:hAnsi="Times New Roman" w:cs="Times New Roman"/>
          <w:b/>
          <w:sz w:val="24"/>
          <w:szCs w:val="24"/>
          <w:lang w:val="en-IN" w:eastAsia="en-IN"/>
        </w:rPr>
        <w:t>O&amp;M expenses</w:t>
      </w:r>
    </w:p>
    <w:p w:rsidR="00F6247C" w:rsidRPr="00E71156" w:rsidRDefault="00F6247C" w:rsidP="00727E19">
      <w:pPr>
        <w:autoSpaceDE w:val="0"/>
        <w:autoSpaceDN w:val="0"/>
        <w:adjustRightInd w:val="0"/>
        <w:spacing w:after="0" w:line="360" w:lineRule="auto"/>
        <w:ind w:firstLine="1872"/>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sz w:val="24"/>
          <w:szCs w:val="24"/>
          <w:lang w:val="en-IN" w:eastAsia="en-IN"/>
        </w:rPr>
        <w:t xml:space="preserve">Actual O&amp;M expenses for </w:t>
      </w:r>
      <w:r w:rsidR="0055077A" w:rsidRPr="00E71156">
        <w:rPr>
          <w:rFonts w:ascii="Times New Roman" w:eastAsia="SimSun" w:hAnsi="Times New Roman" w:cs="Times New Roman"/>
          <w:sz w:val="24"/>
          <w:szCs w:val="24"/>
          <w:lang w:val="en-IN" w:eastAsia="en-IN"/>
        </w:rPr>
        <w:t>TCED</w:t>
      </w:r>
      <w:r w:rsidRPr="00E71156">
        <w:rPr>
          <w:rFonts w:ascii="Times New Roman" w:eastAsia="SimSun" w:hAnsi="Times New Roman" w:cs="Times New Roman"/>
          <w:sz w:val="24"/>
          <w:szCs w:val="24"/>
          <w:lang w:val="en-IN" w:eastAsia="en-IN"/>
        </w:rPr>
        <w:t xml:space="preserve"> for the year 202</w:t>
      </w:r>
      <w:r w:rsidR="003A25B7" w:rsidRPr="00E71156">
        <w:rPr>
          <w:rFonts w:ascii="Times New Roman" w:eastAsia="SimSun" w:hAnsi="Times New Roman" w:cs="Times New Roman"/>
          <w:sz w:val="24"/>
          <w:szCs w:val="24"/>
          <w:lang w:val="en-IN" w:eastAsia="en-IN"/>
        </w:rPr>
        <w:t>2</w:t>
      </w:r>
      <w:r w:rsidRPr="00E71156">
        <w:rPr>
          <w:rFonts w:ascii="Times New Roman" w:eastAsia="SimSun" w:hAnsi="Times New Roman" w:cs="Times New Roman"/>
          <w:sz w:val="24"/>
          <w:szCs w:val="24"/>
          <w:lang w:val="en-IN" w:eastAsia="en-IN"/>
        </w:rPr>
        <w:t>-2</w:t>
      </w:r>
      <w:r w:rsidR="003A25B7" w:rsidRPr="00E71156">
        <w:rPr>
          <w:rFonts w:ascii="Times New Roman" w:eastAsia="SimSun" w:hAnsi="Times New Roman" w:cs="Times New Roman"/>
          <w:sz w:val="24"/>
          <w:szCs w:val="24"/>
          <w:lang w:val="en-IN" w:eastAsia="en-IN"/>
        </w:rPr>
        <w:t>3</w:t>
      </w:r>
      <w:r w:rsidRPr="00E71156">
        <w:rPr>
          <w:rFonts w:ascii="Times New Roman" w:eastAsia="SimSun" w:hAnsi="Times New Roman" w:cs="Times New Roman"/>
          <w:sz w:val="24"/>
          <w:szCs w:val="24"/>
          <w:lang w:val="en-IN" w:eastAsia="en-IN"/>
        </w:rPr>
        <w:t xml:space="preserve"> has been Rs. </w:t>
      </w:r>
      <w:r w:rsidR="005B47E5" w:rsidRPr="00E71156">
        <w:rPr>
          <w:rFonts w:ascii="Times New Roman" w:eastAsia="SimSun" w:hAnsi="Times New Roman" w:cs="Times New Roman"/>
          <w:sz w:val="24"/>
          <w:szCs w:val="24"/>
          <w:lang w:val="en-IN" w:eastAsia="en-IN"/>
        </w:rPr>
        <w:t>14</w:t>
      </w:r>
      <w:r w:rsidR="00B15B53" w:rsidRPr="00E71156">
        <w:rPr>
          <w:rFonts w:ascii="Times New Roman" w:eastAsia="SimSun" w:hAnsi="Times New Roman" w:cs="Times New Roman"/>
          <w:sz w:val="24"/>
          <w:szCs w:val="24"/>
          <w:lang w:val="en-IN" w:eastAsia="en-IN"/>
        </w:rPr>
        <w:t>65.16</w:t>
      </w:r>
      <w:r w:rsidR="003A25B7" w:rsidRPr="00E71156">
        <w:rPr>
          <w:rFonts w:ascii="Times New Roman" w:eastAsia="SimSun" w:hAnsi="Times New Roman" w:cs="Times New Roman"/>
          <w:sz w:val="24"/>
          <w:szCs w:val="24"/>
          <w:lang w:val="en-IN" w:eastAsia="en-IN"/>
        </w:rPr>
        <w:t xml:space="preserve"> l</w:t>
      </w:r>
      <w:r w:rsidR="0055077A" w:rsidRPr="00E71156">
        <w:rPr>
          <w:rFonts w:ascii="Times New Roman" w:eastAsia="SimSun" w:hAnsi="Times New Roman" w:cs="Times New Roman"/>
          <w:sz w:val="24"/>
          <w:szCs w:val="24"/>
          <w:lang w:val="en-IN" w:eastAsia="en-IN"/>
        </w:rPr>
        <w:t>akhs</w:t>
      </w:r>
      <w:r w:rsidRPr="00E71156">
        <w:rPr>
          <w:rFonts w:ascii="Times New Roman" w:eastAsia="SimSun" w:hAnsi="Times New Roman" w:cs="Times New Roman"/>
          <w:sz w:val="24"/>
          <w:szCs w:val="24"/>
          <w:lang w:val="en-IN" w:eastAsia="en-IN"/>
        </w:rPr>
        <w:t xml:space="preserve"> (net of capitalization)</w:t>
      </w:r>
      <w:r w:rsidR="00A560A4" w:rsidRPr="00E71156">
        <w:rPr>
          <w:rFonts w:ascii="Times New Roman" w:eastAsia="SimSun" w:hAnsi="Times New Roman" w:cs="Times New Roman"/>
          <w:sz w:val="24"/>
          <w:szCs w:val="24"/>
          <w:lang w:val="en-IN" w:eastAsia="en-IN"/>
        </w:rPr>
        <w:t xml:space="preserve"> </w:t>
      </w:r>
      <w:r w:rsidRPr="00E71156">
        <w:rPr>
          <w:rFonts w:ascii="Times New Roman" w:eastAsia="SimSun" w:hAnsi="Times New Roman" w:cs="Times New Roman"/>
          <w:sz w:val="24"/>
          <w:szCs w:val="24"/>
          <w:lang w:val="en-IN" w:eastAsia="en-IN"/>
        </w:rPr>
        <w:t>as detailed in Form D3.4.O&amp;M expenses sought for true up as per the norms prescribed in the Tariff Regulations,2018 amounts to Rs.</w:t>
      </w:r>
      <w:r w:rsidR="003A25B7" w:rsidRPr="00E71156">
        <w:rPr>
          <w:rFonts w:ascii="Times New Roman" w:eastAsia="SimSun" w:hAnsi="Times New Roman" w:cs="Times New Roman"/>
          <w:sz w:val="24"/>
          <w:szCs w:val="24"/>
          <w:lang w:val="en-IN" w:eastAsia="en-IN"/>
        </w:rPr>
        <w:t xml:space="preserve">1520.70 </w:t>
      </w:r>
      <w:r w:rsidR="0055077A" w:rsidRPr="00E71156">
        <w:rPr>
          <w:rFonts w:ascii="Times New Roman" w:eastAsia="SimSun" w:hAnsi="Times New Roman" w:cs="Times New Roman"/>
          <w:sz w:val="24"/>
          <w:szCs w:val="24"/>
          <w:lang w:val="en-IN" w:eastAsia="en-IN"/>
        </w:rPr>
        <w:t>Lakhs</w:t>
      </w:r>
      <w:r w:rsidR="003A25B7" w:rsidRPr="00E71156">
        <w:rPr>
          <w:rFonts w:ascii="Times New Roman" w:eastAsia="SimSun" w:hAnsi="Times New Roman" w:cs="Times New Roman"/>
          <w:sz w:val="24"/>
          <w:szCs w:val="24"/>
          <w:lang w:val="en-IN" w:eastAsia="en-IN"/>
        </w:rPr>
        <w:t>.</w:t>
      </w:r>
      <w:r w:rsidR="00A560A4" w:rsidRPr="00E71156">
        <w:rPr>
          <w:rFonts w:ascii="Times New Roman" w:eastAsia="SimSun" w:hAnsi="Times New Roman" w:cs="Times New Roman"/>
          <w:sz w:val="24"/>
          <w:szCs w:val="24"/>
          <w:lang w:val="en-IN" w:eastAsia="en-IN"/>
        </w:rPr>
        <w:t xml:space="preserve"> </w:t>
      </w:r>
      <w:r w:rsidRPr="00E71156">
        <w:rPr>
          <w:rFonts w:ascii="Times New Roman" w:eastAsia="SimSun" w:hAnsi="Times New Roman" w:cs="Times New Roman"/>
          <w:color w:val="000000"/>
          <w:sz w:val="24"/>
          <w:szCs w:val="24"/>
          <w:lang w:val="en-IN" w:eastAsia="en-IN"/>
        </w:rPr>
        <w:t>A comparison of approved</w:t>
      </w:r>
      <w:r w:rsidR="00A560A4" w:rsidRPr="00E71156">
        <w:rPr>
          <w:rFonts w:ascii="Times New Roman" w:eastAsia="SimSun" w:hAnsi="Times New Roman" w:cs="Times New Roman"/>
          <w:color w:val="000000"/>
          <w:sz w:val="24"/>
          <w:szCs w:val="24"/>
          <w:lang w:val="en-IN" w:eastAsia="en-IN"/>
        </w:rPr>
        <w:t xml:space="preserve"> </w:t>
      </w:r>
      <w:r w:rsidRPr="00E71156">
        <w:rPr>
          <w:rFonts w:ascii="Times New Roman" w:eastAsia="SimSun" w:hAnsi="Times New Roman" w:cs="Times New Roman"/>
          <w:color w:val="000000"/>
          <w:sz w:val="24"/>
          <w:szCs w:val="24"/>
          <w:lang w:val="en-IN" w:eastAsia="en-IN"/>
        </w:rPr>
        <w:t>and actual O&amp;M expenses is given in table below:</w:t>
      </w:r>
    </w:p>
    <w:p w:rsidR="00F6247C" w:rsidRPr="00E71156" w:rsidRDefault="00F6247C"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p>
    <w:tbl>
      <w:tblPr>
        <w:tblStyle w:val="TableGrid"/>
        <w:tblW w:w="0" w:type="auto"/>
        <w:tblLayout w:type="fixed"/>
        <w:tblLook w:val="04A0"/>
      </w:tblPr>
      <w:tblGrid>
        <w:gridCol w:w="534"/>
        <w:gridCol w:w="1984"/>
        <w:gridCol w:w="1843"/>
        <w:gridCol w:w="1984"/>
        <w:gridCol w:w="2268"/>
      </w:tblGrid>
      <w:tr w:rsidR="00FE3867" w:rsidRPr="00E71156" w:rsidTr="00B7447C">
        <w:tc>
          <w:tcPr>
            <w:tcW w:w="53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b/>
                <w:bCs/>
                <w:sz w:val="24"/>
                <w:szCs w:val="24"/>
              </w:rPr>
            </w:pPr>
            <w:r w:rsidRPr="00E71156">
              <w:rPr>
                <w:rFonts w:ascii="Times New Roman" w:eastAsia="SimSun" w:hAnsi="Times New Roman" w:cs="Times New Roman"/>
                <w:b/>
                <w:bCs/>
                <w:sz w:val="24"/>
                <w:szCs w:val="24"/>
                <w:lang w:val="en-IN" w:eastAsia="en-IN"/>
              </w:rPr>
              <w:t xml:space="preserve">No </w:t>
            </w:r>
          </w:p>
        </w:tc>
        <w:tc>
          <w:tcPr>
            <w:tcW w:w="198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b/>
                <w:bCs/>
                <w:sz w:val="24"/>
                <w:szCs w:val="24"/>
              </w:rPr>
            </w:pPr>
            <w:r w:rsidRPr="00E71156">
              <w:rPr>
                <w:rFonts w:ascii="Times New Roman" w:eastAsia="SimSun" w:hAnsi="Times New Roman" w:cs="Times New Roman"/>
                <w:b/>
                <w:bCs/>
                <w:sz w:val="24"/>
                <w:szCs w:val="24"/>
                <w:lang w:val="en-IN" w:eastAsia="en-IN"/>
              </w:rPr>
              <w:t>Particulars</w:t>
            </w:r>
          </w:p>
        </w:tc>
        <w:tc>
          <w:tcPr>
            <w:tcW w:w="1843"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As per</w:t>
            </w:r>
          </w:p>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b/>
                <w:bCs/>
                <w:sz w:val="24"/>
                <w:szCs w:val="24"/>
              </w:rPr>
            </w:pPr>
            <w:r w:rsidRPr="00E71156">
              <w:rPr>
                <w:rFonts w:ascii="Times New Roman" w:eastAsia="SimSun" w:hAnsi="Times New Roman" w:cs="Times New Roman"/>
                <w:b/>
                <w:bCs/>
                <w:sz w:val="24"/>
                <w:szCs w:val="24"/>
                <w:lang w:val="en-IN" w:eastAsia="en-IN"/>
              </w:rPr>
              <w:t>Norms (in lakhs)</w:t>
            </w:r>
          </w:p>
        </w:tc>
        <w:tc>
          <w:tcPr>
            <w:tcW w:w="198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Pr>
                <w:rFonts w:ascii="Times New Roman" w:eastAsia="SimSun" w:hAnsi="Times New Roman" w:cs="Times New Roman"/>
                <w:b/>
                <w:bCs/>
                <w:sz w:val="24"/>
                <w:szCs w:val="24"/>
                <w:lang w:val="en-IN" w:eastAsia="en-IN"/>
              </w:rPr>
              <w:t xml:space="preserve">Projected   </w:t>
            </w:r>
            <w:r w:rsidR="00B7447C">
              <w:rPr>
                <w:rFonts w:ascii="Times New Roman" w:eastAsia="SimSun" w:hAnsi="Times New Roman" w:cs="Times New Roman"/>
                <w:b/>
                <w:bCs/>
                <w:sz w:val="24"/>
                <w:szCs w:val="24"/>
                <w:lang w:val="en-IN" w:eastAsia="en-IN"/>
              </w:rPr>
              <w:t xml:space="preserve">    </w:t>
            </w:r>
            <w:r>
              <w:rPr>
                <w:rFonts w:ascii="Times New Roman" w:eastAsia="SimSun" w:hAnsi="Times New Roman" w:cs="Times New Roman"/>
                <w:b/>
                <w:bCs/>
                <w:sz w:val="24"/>
                <w:szCs w:val="24"/>
                <w:lang w:val="en-IN" w:eastAsia="en-IN"/>
              </w:rPr>
              <w:t xml:space="preserve">  (in lakhs)</w:t>
            </w:r>
          </w:p>
        </w:tc>
        <w:tc>
          <w:tcPr>
            <w:tcW w:w="2268" w:type="dxa"/>
          </w:tcPr>
          <w:p w:rsidR="00FE3867" w:rsidRPr="00E71156" w:rsidRDefault="00B7447C" w:rsidP="00B7447C">
            <w:pPr>
              <w:autoSpaceDE w:val="0"/>
              <w:autoSpaceDN w:val="0"/>
              <w:adjustRightInd w:val="0"/>
              <w:spacing w:after="0"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lang w:val="en-IN" w:eastAsia="en-IN"/>
              </w:rPr>
              <w:t>True-u</w:t>
            </w:r>
            <w:r w:rsidR="00FE3867" w:rsidRPr="00E71156">
              <w:rPr>
                <w:rFonts w:ascii="Times New Roman" w:eastAsia="SimSun" w:hAnsi="Times New Roman" w:cs="Times New Roman"/>
                <w:b/>
                <w:bCs/>
                <w:sz w:val="24"/>
                <w:szCs w:val="24"/>
                <w:lang w:val="en-IN" w:eastAsia="en-IN"/>
              </w:rPr>
              <w:t xml:space="preserve">p </w:t>
            </w:r>
            <w:r>
              <w:rPr>
                <w:rFonts w:ascii="Times New Roman" w:eastAsia="SimSun" w:hAnsi="Times New Roman" w:cs="Times New Roman"/>
                <w:b/>
                <w:bCs/>
                <w:sz w:val="24"/>
                <w:szCs w:val="24"/>
                <w:lang w:val="en-IN" w:eastAsia="en-IN"/>
              </w:rPr>
              <w:t xml:space="preserve">                </w:t>
            </w:r>
            <w:r w:rsidR="00FE3867" w:rsidRPr="00E71156">
              <w:rPr>
                <w:rFonts w:ascii="Times New Roman" w:eastAsia="SimSun" w:hAnsi="Times New Roman" w:cs="Times New Roman"/>
                <w:b/>
                <w:bCs/>
                <w:sz w:val="24"/>
                <w:szCs w:val="24"/>
                <w:lang w:val="en-IN" w:eastAsia="en-IN"/>
              </w:rPr>
              <w:t>(in lakhs)</w:t>
            </w:r>
          </w:p>
        </w:tc>
      </w:tr>
      <w:tr w:rsidR="00FE3867" w:rsidRPr="00E71156" w:rsidTr="00B7447C">
        <w:tc>
          <w:tcPr>
            <w:tcW w:w="53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w:t>
            </w:r>
          </w:p>
        </w:tc>
        <w:tc>
          <w:tcPr>
            <w:tcW w:w="198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sz w:val="24"/>
                <w:szCs w:val="24"/>
                <w:lang w:val="en-IN" w:eastAsia="en-IN"/>
              </w:rPr>
              <w:t xml:space="preserve">Employee Cost  </w:t>
            </w:r>
          </w:p>
        </w:tc>
        <w:tc>
          <w:tcPr>
            <w:tcW w:w="1843" w:type="dxa"/>
          </w:tcPr>
          <w:p w:rsidR="00FE3867" w:rsidRPr="00E71156" w:rsidRDefault="00FE3867" w:rsidP="00727E19">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1315.13</w:t>
            </w:r>
          </w:p>
        </w:tc>
        <w:tc>
          <w:tcPr>
            <w:tcW w:w="1984" w:type="dxa"/>
          </w:tcPr>
          <w:p w:rsidR="00FE3867" w:rsidRPr="00E71156" w:rsidRDefault="00FE3867" w:rsidP="00CD3EF9">
            <w:pPr>
              <w:autoSpaceDE w:val="0"/>
              <w:autoSpaceDN w:val="0"/>
              <w:adjustRightInd w:val="0"/>
              <w:spacing w:after="0" w:line="360" w:lineRule="auto"/>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t>1081.96</w:t>
            </w:r>
          </w:p>
        </w:tc>
        <w:tc>
          <w:tcPr>
            <w:tcW w:w="2268" w:type="dxa"/>
          </w:tcPr>
          <w:p w:rsidR="00FE3867" w:rsidRPr="00E71156" w:rsidRDefault="00FE3867" w:rsidP="00CD3EF9">
            <w:pPr>
              <w:autoSpaceDE w:val="0"/>
              <w:autoSpaceDN w:val="0"/>
              <w:adjustRightInd w:val="0"/>
              <w:spacing w:after="0" w:line="360" w:lineRule="auto"/>
              <w:jc w:val="right"/>
              <w:rPr>
                <w:rFonts w:ascii="Times New Roman" w:eastAsia="SimSun" w:hAnsi="Times New Roman" w:cs="Times New Roman"/>
                <w:color w:val="000000"/>
                <w:sz w:val="24"/>
                <w:szCs w:val="24"/>
                <w:highlight w:val="yellow"/>
                <w:lang w:val="en-IN" w:eastAsia="en-IN"/>
              </w:rPr>
            </w:pPr>
            <w:r w:rsidRPr="00E71156">
              <w:rPr>
                <w:rFonts w:ascii="Times New Roman" w:hAnsi="Times New Roman" w:cs="Times New Roman"/>
                <w:bCs/>
                <w:color w:val="000000"/>
                <w:sz w:val="24"/>
                <w:szCs w:val="24"/>
              </w:rPr>
              <w:t xml:space="preserve">    1,081.96</w:t>
            </w:r>
          </w:p>
        </w:tc>
      </w:tr>
      <w:tr w:rsidR="00FE3867" w:rsidRPr="00E71156" w:rsidTr="00B7447C">
        <w:tc>
          <w:tcPr>
            <w:tcW w:w="53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2</w:t>
            </w:r>
          </w:p>
        </w:tc>
        <w:tc>
          <w:tcPr>
            <w:tcW w:w="198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A&amp;G Expenses</w:t>
            </w:r>
          </w:p>
        </w:tc>
        <w:tc>
          <w:tcPr>
            <w:tcW w:w="1843" w:type="dxa"/>
          </w:tcPr>
          <w:p w:rsidR="00FE3867" w:rsidRPr="00E71156" w:rsidRDefault="00FE3867" w:rsidP="00727E19">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106.85</w:t>
            </w:r>
          </w:p>
        </w:tc>
        <w:tc>
          <w:tcPr>
            <w:tcW w:w="1984" w:type="dxa"/>
          </w:tcPr>
          <w:p w:rsidR="00FE3867" w:rsidRPr="00E71156" w:rsidRDefault="00FE3867" w:rsidP="00CD3EF9">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Pr>
                <w:rFonts w:ascii="Times New Roman" w:eastAsia="SimSun" w:hAnsi="Times New Roman" w:cs="Times New Roman"/>
                <w:color w:val="000000"/>
                <w:sz w:val="24"/>
                <w:szCs w:val="24"/>
                <w:lang w:val="en-IN" w:eastAsia="en-IN"/>
              </w:rPr>
              <w:t>304.41</w:t>
            </w:r>
          </w:p>
        </w:tc>
        <w:tc>
          <w:tcPr>
            <w:tcW w:w="2268" w:type="dxa"/>
          </w:tcPr>
          <w:p w:rsidR="00FE3867" w:rsidRPr="00E71156" w:rsidRDefault="00FE3867" w:rsidP="00CD3EF9">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304.42</w:t>
            </w:r>
          </w:p>
        </w:tc>
      </w:tr>
      <w:tr w:rsidR="00FE3867" w:rsidRPr="00E71156" w:rsidTr="00B7447C">
        <w:tc>
          <w:tcPr>
            <w:tcW w:w="53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3</w:t>
            </w:r>
          </w:p>
        </w:tc>
        <w:tc>
          <w:tcPr>
            <w:tcW w:w="198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sz w:val="24"/>
                <w:szCs w:val="24"/>
                <w:lang w:val="en-IN" w:eastAsia="en-IN"/>
              </w:rPr>
              <w:t>R&amp;M Expenses</w:t>
            </w:r>
          </w:p>
        </w:tc>
        <w:tc>
          <w:tcPr>
            <w:tcW w:w="1843" w:type="dxa"/>
          </w:tcPr>
          <w:p w:rsidR="00FE3867" w:rsidRPr="00E71156" w:rsidRDefault="00FE3867" w:rsidP="00727E19">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98.71</w:t>
            </w:r>
          </w:p>
        </w:tc>
        <w:tc>
          <w:tcPr>
            <w:tcW w:w="1984" w:type="dxa"/>
          </w:tcPr>
          <w:p w:rsidR="00FE3867" w:rsidRPr="00E71156" w:rsidRDefault="00FE3867" w:rsidP="00727E19">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85.76</w:t>
            </w:r>
          </w:p>
        </w:tc>
        <w:tc>
          <w:tcPr>
            <w:tcW w:w="2268" w:type="dxa"/>
          </w:tcPr>
          <w:p w:rsidR="00FE3867" w:rsidRPr="00E71156" w:rsidRDefault="00FE3867" w:rsidP="00727E19">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hAnsi="Times New Roman" w:cs="Times New Roman"/>
                <w:sz w:val="24"/>
                <w:szCs w:val="24"/>
              </w:rPr>
              <w:t>79.31</w:t>
            </w:r>
          </w:p>
        </w:tc>
      </w:tr>
      <w:tr w:rsidR="00FE3867" w:rsidRPr="00E71156" w:rsidTr="00B7447C">
        <w:tc>
          <w:tcPr>
            <w:tcW w:w="53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p>
        </w:tc>
        <w:tc>
          <w:tcPr>
            <w:tcW w:w="1984" w:type="dxa"/>
          </w:tcPr>
          <w:p w:rsidR="00FE3867" w:rsidRPr="00E71156" w:rsidRDefault="00FE3867"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Total</w:t>
            </w:r>
          </w:p>
        </w:tc>
        <w:tc>
          <w:tcPr>
            <w:tcW w:w="1843" w:type="dxa"/>
          </w:tcPr>
          <w:p w:rsidR="00FE3867" w:rsidRPr="00E71156" w:rsidRDefault="00FE3867" w:rsidP="00727E19">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1520.70</w:t>
            </w:r>
          </w:p>
        </w:tc>
        <w:tc>
          <w:tcPr>
            <w:tcW w:w="1984" w:type="dxa"/>
          </w:tcPr>
          <w:p w:rsidR="00FE3867" w:rsidRPr="00E71156" w:rsidRDefault="00FE3867" w:rsidP="005B47E5">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Pr>
                <w:rFonts w:ascii="Times New Roman" w:eastAsia="SimSun" w:hAnsi="Times New Roman" w:cs="Times New Roman"/>
                <w:color w:val="000000"/>
                <w:sz w:val="24"/>
                <w:szCs w:val="24"/>
                <w:lang w:val="en-IN" w:eastAsia="en-IN"/>
              </w:rPr>
              <w:t>1472.07</w:t>
            </w:r>
          </w:p>
        </w:tc>
        <w:tc>
          <w:tcPr>
            <w:tcW w:w="2268" w:type="dxa"/>
          </w:tcPr>
          <w:p w:rsidR="00FE3867" w:rsidRPr="00E71156" w:rsidRDefault="00FE3867" w:rsidP="005B47E5">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1465.68</w:t>
            </w:r>
          </w:p>
        </w:tc>
      </w:tr>
    </w:tbl>
    <w:p w:rsidR="00B7447C" w:rsidRPr="00E71156" w:rsidRDefault="00B7447C"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1F1BBC" w:rsidRPr="00E71156" w:rsidRDefault="00064D72"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 xml:space="preserve">4.2.1 </w:t>
      </w:r>
      <w:r w:rsidR="001F1BBC" w:rsidRPr="00E71156">
        <w:rPr>
          <w:rFonts w:ascii="Times New Roman" w:eastAsia="SimSun" w:hAnsi="Times New Roman" w:cs="Times New Roman"/>
          <w:b/>
          <w:bCs/>
          <w:sz w:val="24"/>
          <w:szCs w:val="24"/>
          <w:lang w:val="en-IN" w:eastAsia="en-IN"/>
        </w:rPr>
        <w:t>Employee Cost</w:t>
      </w:r>
    </w:p>
    <w:p w:rsidR="001F1BBC" w:rsidRPr="00E71156" w:rsidRDefault="001F1BBC" w:rsidP="00727E19">
      <w:pPr>
        <w:autoSpaceDE w:val="0"/>
        <w:autoSpaceDN w:val="0"/>
        <w:adjustRightInd w:val="0"/>
        <w:spacing w:after="0" w:line="360" w:lineRule="auto"/>
        <w:ind w:firstLine="1872"/>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Salary and other employee costs are recognised on accrual basis. Employee cost incurred in respect of consumer contributed assets has been added along with the cost of such assets. Where consumer contribution received is not directly attributable to capital expenditure,</w:t>
      </w:r>
      <w:r w:rsidR="00492A73" w:rsidRPr="00E71156">
        <w:rPr>
          <w:rFonts w:ascii="Times New Roman" w:eastAsia="SimSun" w:hAnsi="Times New Roman" w:cs="Times New Roman"/>
          <w:bCs/>
          <w:sz w:val="24"/>
          <w:szCs w:val="24"/>
          <w:lang w:val="en-IN" w:eastAsia="en-IN"/>
        </w:rPr>
        <w:t xml:space="preserve"> the same has been set off correspondingly. </w:t>
      </w:r>
      <w:r w:rsidR="00C80133" w:rsidRPr="00E71156">
        <w:rPr>
          <w:rFonts w:ascii="Times New Roman" w:eastAsia="SimSun" w:hAnsi="Times New Roman" w:cs="Times New Roman"/>
          <w:bCs/>
          <w:sz w:val="24"/>
          <w:szCs w:val="24"/>
          <w:lang w:val="en-IN" w:eastAsia="en-IN"/>
        </w:rPr>
        <w:t>The main component of employee cost is basic salary of the employees and that comes to Rs.74</w:t>
      </w:r>
      <w:r w:rsidR="00A550B9" w:rsidRPr="00E71156">
        <w:rPr>
          <w:rFonts w:ascii="Times New Roman" w:eastAsia="SimSun" w:hAnsi="Times New Roman" w:cs="Times New Roman"/>
          <w:bCs/>
          <w:sz w:val="24"/>
          <w:szCs w:val="24"/>
          <w:lang w:val="en-IN" w:eastAsia="en-IN"/>
        </w:rPr>
        <w:t>3.43</w:t>
      </w:r>
      <w:r w:rsidR="00C80133" w:rsidRPr="00E71156">
        <w:rPr>
          <w:rFonts w:ascii="Times New Roman" w:eastAsia="SimSun" w:hAnsi="Times New Roman" w:cs="Times New Roman"/>
          <w:bCs/>
          <w:sz w:val="24"/>
          <w:szCs w:val="24"/>
          <w:lang w:val="en-IN" w:eastAsia="en-IN"/>
        </w:rPr>
        <w:t xml:space="preserve"> lakhs. </w:t>
      </w:r>
      <w:r w:rsidR="00531535" w:rsidRPr="00E71156">
        <w:rPr>
          <w:rFonts w:ascii="Times New Roman" w:eastAsia="SimSun" w:hAnsi="Times New Roman" w:cs="Times New Roman"/>
          <w:bCs/>
          <w:sz w:val="24"/>
          <w:szCs w:val="24"/>
          <w:lang w:val="en-IN" w:eastAsia="en-IN"/>
        </w:rPr>
        <w:t xml:space="preserve"> The subheading employer contribution refers to the contribution by TCED towards NPS (13.05 lakhs) and EPF of employees</w:t>
      </w:r>
      <w:r w:rsidR="007F60D5" w:rsidRPr="00E71156">
        <w:rPr>
          <w:rFonts w:ascii="Times New Roman" w:eastAsia="SimSun" w:hAnsi="Times New Roman" w:cs="Times New Roman"/>
          <w:bCs/>
          <w:sz w:val="24"/>
          <w:szCs w:val="24"/>
          <w:lang w:val="en-IN" w:eastAsia="en-IN"/>
        </w:rPr>
        <w:t xml:space="preserve"> </w:t>
      </w:r>
      <w:r w:rsidR="00531535" w:rsidRPr="00E71156">
        <w:rPr>
          <w:rFonts w:ascii="Times New Roman" w:eastAsia="SimSun" w:hAnsi="Times New Roman" w:cs="Times New Roman"/>
          <w:bCs/>
          <w:sz w:val="24"/>
          <w:szCs w:val="24"/>
          <w:lang w:val="en-IN" w:eastAsia="en-IN"/>
        </w:rPr>
        <w:t>(0.08 lakhs). Compared to previous year the total amount has come down due to the reduction in the number of temporary staff and the subsequent reduction in the EPF contribution</w:t>
      </w:r>
      <w:r w:rsidR="00BE5745" w:rsidRPr="00E71156">
        <w:rPr>
          <w:rFonts w:ascii="Times New Roman" w:eastAsia="SimSun" w:hAnsi="Times New Roman" w:cs="Times New Roman"/>
          <w:bCs/>
          <w:sz w:val="24"/>
          <w:szCs w:val="24"/>
          <w:lang w:val="en-IN" w:eastAsia="en-IN"/>
        </w:rPr>
        <w:t>. Pension contribution made by TCED is Rs.87.37 lakhs</w:t>
      </w:r>
      <w:r w:rsidR="00531535" w:rsidRPr="00E71156">
        <w:rPr>
          <w:rFonts w:ascii="Times New Roman" w:eastAsia="SimSun" w:hAnsi="Times New Roman" w:cs="Times New Roman"/>
          <w:bCs/>
          <w:sz w:val="24"/>
          <w:szCs w:val="24"/>
          <w:lang w:val="en-IN" w:eastAsia="en-IN"/>
        </w:rPr>
        <w:t xml:space="preserve">. </w:t>
      </w:r>
      <w:r w:rsidR="00BE5745" w:rsidRPr="00E71156">
        <w:rPr>
          <w:rFonts w:ascii="Times New Roman" w:eastAsia="SimSun" w:hAnsi="Times New Roman" w:cs="Times New Roman"/>
          <w:bCs/>
          <w:sz w:val="24"/>
          <w:szCs w:val="24"/>
          <w:lang w:val="en-IN" w:eastAsia="en-IN"/>
        </w:rPr>
        <w:t xml:space="preserve">Payments done towards the wages of temporary staffs is Rs. 1.79 Cr. The monetary </w:t>
      </w:r>
      <w:r w:rsidR="00BE5745" w:rsidRPr="00E71156">
        <w:rPr>
          <w:rFonts w:ascii="Times New Roman" w:eastAsia="SimSun" w:hAnsi="Times New Roman" w:cs="Times New Roman"/>
          <w:bCs/>
          <w:sz w:val="24"/>
          <w:szCs w:val="24"/>
          <w:lang w:val="en-IN" w:eastAsia="en-IN"/>
        </w:rPr>
        <w:lastRenderedPageBreak/>
        <w:t xml:space="preserve">benefits of time bound grade promotions were not given to </w:t>
      </w:r>
      <w:r w:rsidR="00E7513D" w:rsidRPr="00E71156">
        <w:rPr>
          <w:rFonts w:ascii="Times New Roman" w:eastAsia="SimSun" w:hAnsi="Times New Roman" w:cs="Times New Roman"/>
          <w:bCs/>
          <w:sz w:val="24"/>
          <w:szCs w:val="24"/>
          <w:lang w:val="en-IN" w:eastAsia="en-IN"/>
        </w:rPr>
        <w:t xml:space="preserve">the </w:t>
      </w:r>
      <w:r w:rsidR="00BE5745" w:rsidRPr="00E71156">
        <w:rPr>
          <w:rFonts w:ascii="Times New Roman" w:eastAsia="SimSun" w:hAnsi="Times New Roman" w:cs="Times New Roman"/>
          <w:bCs/>
          <w:sz w:val="24"/>
          <w:szCs w:val="24"/>
          <w:lang w:val="en-IN" w:eastAsia="en-IN"/>
        </w:rPr>
        <w:t xml:space="preserve">TCED employees due to the objections raised by the Kerala State Audit Department and was under dispute for long. The grade promotion arrear given to employees during the year amounts to Rs. 5.8 lakhs. This amount may get multiplied in the coming financial years. </w:t>
      </w:r>
    </w:p>
    <w:p w:rsidR="00EC6650" w:rsidRPr="00E71156" w:rsidRDefault="00492A73"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ab/>
      </w:r>
      <w:r w:rsidR="00BE5745" w:rsidRPr="00E71156">
        <w:rPr>
          <w:rFonts w:ascii="Times New Roman" w:eastAsia="SimSun" w:hAnsi="Times New Roman" w:cs="Times New Roman"/>
          <w:bCs/>
          <w:sz w:val="24"/>
          <w:szCs w:val="24"/>
          <w:lang w:val="en-IN" w:eastAsia="en-IN"/>
        </w:rPr>
        <w:t xml:space="preserve">As per the pay revision order 2013, the DA </w:t>
      </w:r>
      <w:r w:rsidR="00EC6650" w:rsidRPr="00E71156">
        <w:rPr>
          <w:rFonts w:ascii="Times New Roman" w:eastAsia="SimSun" w:hAnsi="Times New Roman" w:cs="Times New Roman"/>
          <w:bCs/>
          <w:sz w:val="24"/>
          <w:szCs w:val="24"/>
          <w:lang w:val="en-IN" w:eastAsia="en-IN"/>
        </w:rPr>
        <w:t>declared in</w:t>
      </w:r>
      <w:r w:rsidR="00BE5745" w:rsidRPr="00E71156">
        <w:rPr>
          <w:rFonts w:ascii="Times New Roman" w:eastAsia="SimSun" w:hAnsi="Times New Roman" w:cs="Times New Roman"/>
          <w:bCs/>
          <w:sz w:val="24"/>
          <w:szCs w:val="24"/>
          <w:lang w:val="en-IN" w:eastAsia="en-IN"/>
        </w:rPr>
        <w:t xml:space="preserve"> KSEBL is only allowed to TCED employees</w:t>
      </w:r>
      <w:r w:rsidR="00EC6650" w:rsidRPr="00E71156">
        <w:rPr>
          <w:rFonts w:ascii="Times New Roman" w:eastAsia="SimSun" w:hAnsi="Times New Roman" w:cs="Times New Roman"/>
          <w:bCs/>
          <w:sz w:val="24"/>
          <w:szCs w:val="24"/>
          <w:lang w:val="en-IN" w:eastAsia="en-IN"/>
        </w:rPr>
        <w:t xml:space="preserve"> and the DA declared by the government from time to time is not given to TCED employees</w:t>
      </w:r>
      <w:r w:rsidR="00BE5745" w:rsidRPr="00E71156">
        <w:rPr>
          <w:rFonts w:ascii="Times New Roman" w:eastAsia="SimSun" w:hAnsi="Times New Roman" w:cs="Times New Roman"/>
          <w:bCs/>
          <w:sz w:val="24"/>
          <w:szCs w:val="24"/>
          <w:lang w:val="en-IN" w:eastAsia="en-IN"/>
        </w:rPr>
        <w:t>. The pay revision order 2018 of KSEBL is so far not implemented in TCED and is still under the consideration of Gov</w:t>
      </w:r>
      <w:r w:rsidR="002B0708" w:rsidRPr="00E71156">
        <w:rPr>
          <w:rFonts w:ascii="Times New Roman" w:eastAsia="SimSun" w:hAnsi="Times New Roman" w:cs="Times New Roman"/>
          <w:bCs/>
          <w:sz w:val="24"/>
          <w:szCs w:val="24"/>
          <w:lang w:val="en-IN" w:eastAsia="en-IN"/>
        </w:rPr>
        <w:t>t. of Kerala and that is the main reason for the reduced employee cost when compared to the previous financial year. The p</w:t>
      </w:r>
      <w:r w:rsidR="00EC6650" w:rsidRPr="00E71156">
        <w:rPr>
          <w:rFonts w:ascii="Times New Roman" w:eastAsia="SimSun" w:hAnsi="Times New Roman" w:cs="Times New Roman"/>
          <w:bCs/>
          <w:sz w:val="24"/>
          <w:szCs w:val="24"/>
          <w:lang w:val="en-IN" w:eastAsia="en-IN"/>
        </w:rPr>
        <w:t>ension disbursement made by TCED from its own fund to the retired employees is accounted as loans and advances receivable from the government and is not included under employee cost.</w:t>
      </w:r>
      <w:r w:rsidR="007F60D5" w:rsidRPr="00E71156">
        <w:rPr>
          <w:rFonts w:ascii="Times New Roman" w:eastAsia="SimSun" w:hAnsi="Times New Roman" w:cs="Times New Roman"/>
          <w:bCs/>
          <w:sz w:val="24"/>
          <w:szCs w:val="24"/>
          <w:lang w:val="en-IN" w:eastAsia="en-IN"/>
        </w:rPr>
        <w:t xml:space="preserve"> TCED requests the Hon’ble commission to approve </w:t>
      </w:r>
      <w:r w:rsidR="00812DAD" w:rsidRPr="00E71156">
        <w:rPr>
          <w:rFonts w:ascii="Times New Roman" w:eastAsia="SimSun" w:hAnsi="Times New Roman" w:cs="Times New Roman"/>
          <w:bCs/>
          <w:sz w:val="24"/>
          <w:szCs w:val="24"/>
          <w:lang w:val="en-IN" w:eastAsia="en-IN"/>
        </w:rPr>
        <w:t xml:space="preserve">Rs.1081.96 lakhs as </w:t>
      </w:r>
      <w:r w:rsidR="007F60D5" w:rsidRPr="00E71156">
        <w:rPr>
          <w:rFonts w:ascii="Times New Roman" w:eastAsia="SimSun" w:hAnsi="Times New Roman" w:cs="Times New Roman"/>
          <w:bCs/>
          <w:sz w:val="24"/>
          <w:szCs w:val="24"/>
          <w:lang w:val="en-IN" w:eastAsia="en-IN"/>
        </w:rPr>
        <w:t xml:space="preserve">the employee cost. </w:t>
      </w:r>
    </w:p>
    <w:p w:rsidR="00ED66C3" w:rsidRDefault="00ED66C3"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1F1BBC" w:rsidRPr="00E71156" w:rsidRDefault="00064D72"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 xml:space="preserve">4.2.2 </w:t>
      </w:r>
      <w:r w:rsidR="00F96D43" w:rsidRPr="00E71156">
        <w:rPr>
          <w:rFonts w:ascii="Times New Roman" w:eastAsia="SimSun" w:hAnsi="Times New Roman" w:cs="Times New Roman"/>
          <w:b/>
          <w:bCs/>
          <w:sz w:val="24"/>
          <w:szCs w:val="24"/>
          <w:lang w:val="en-IN" w:eastAsia="en-IN"/>
        </w:rPr>
        <w:t xml:space="preserve"> </w:t>
      </w:r>
      <w:r w:rsidR="001F1BBC" w:rsidRPr="00E71156">
        <w:rPr>
          <w:rFonts w:ascii="Times New Roman" w:eastAsia="SimSun" w:hAnsi="Times New Roman" w:cs="Times New Roman"/>
          <w:b/>
          <w:bCs/>
          <w:sz w:val="24"/>
          <w:szCs w:val="24"/>
          <w:lang w:val="en-IN" w:eastAsia="en-IN"/>
        </w:rPr>
        <w:t>Repair and Maintenance Expense</w:t>
      </w:r>
    </w:p>
    <w:p w:rsidR="00F96D43" w:rsidRPr="00E71156" w:rsidRDefault="00492A73"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
          <w:bCs/>
          <w:sz w:val="24"/>
          <w:szCs w:val="24"/>
          <w:lang w:val="en-IN" w:eastAsia="en-IN"/>
        </w:rPr>
        <w:tab/>
      </w:r>
      <w:r w:rsidR="002B148C" w:rsidRPr="00E71156">
        <w:rPr>
          <w:rFonts w:ascii="Times New Roman" w:eastAsia="SimSun" w:hAnsi="Times New Roman" w:cs="Times New Roman"/>
          <w:bCs/>
          <w:sz w:val="24"/>
          <w:szCs w:val="24"/>
          <w:lang w:val="en-IN" w:eastAsia="en-IN"/>
        </w:rPr>
        <w:t>The tot</w:t>
      </w:r>
      <w:r w:rsidR="00FA29F0" w:rsidRPr="00E71156">
        <w:rPr>
          <w:rFonts w:ascii="Times New Roman" w:eastAsia="SimSun" w:hAnsi="Times New Roman" w:cs="Times New Roman"/>
          <w:bCs/>
          <w:sz w:val="24"/>
          <w:szCs w:val="24"/>
          <w:lang w:val="en-IN" w:eastAsia="en-IN"/>
        </w:rPr>
        <w:t>al repair and maintenance expens</w:t>
      </w:r>
      <w:r w:rsidR="002B148C" w:rsidRPr="00E71156">
        <w:rPr>
          <w:rFonts w:ascii="Times New Roman" w:eastAsia="SimSun" w:hAnsi="Times New Roman" w:cs="Times New Roman"/>
          <w:bCs/>
          <w:sz w:val="24"/>
          <w:szCs w:val="24"/>
          <w:lang w:val="en-IN" w:eastAsia="en-IN"/>
        </w:rPr>
        <w:t>es for FY 22-23 works out to Rs</w:t>
      </w:r>
      <w:r w:rsidR="003A25B7" w:rsidRPr="00E71156">
        <w:rPr>
          <w:rFonts w:ascii="Times New Roman" w:eastAsia="SimSun" w:hAnsi="Times New Roman" w:cs="Times New Roman"/>
          <w:bCs/>
          <w:sz w:val="24"/>
          <w:szCs w:val="24"/>
          <w:lang w:val="en-IN" w:eastAsia="en-IN"/>
        </w:rPr>
        <w:t xml:space="preserve"> </w:t>
      </w:r>
      <w:r w:rsidR="00341A23" w:rsidRPr="00E71156">
        <w:rPr>
          <w:rFonts w:ascii="Times New Roman" w:eastAsia="SimSun" w:hAnsi="Times New Roman" w:cs="Times New Roman"/>
          <w:bCs/>
          <w:sz w:val="24"/>
          <w:szCs w:val="24"/>
          <w:lang w:val="en-IN" w:eastAsia="en-IN"/>
        </w:rPr>
        <w:t>79.31</w:t>
      </w:r>
      <w:r w:rsidR="002B148C" w:rsidRPr="00E71156">
        <w:rPr>
          <w:rFonts w:ascii="Times New Roman" w:eastAsia="SimSun" w:hAnsi="Times New Roman" w:cs="Times New Roman"/>
          <w:bCs/>
          <w:sz w:val="24"/>
          <w:szCs w:val="24"/>
          <w:lang w:val="en-IN" w:eastAsia="en-IN"/>
        </w:rPr>
        <w:t xml:space="preserve"> lakhs</w:t>
      </w:r>
      <w:r w:rsidR="00727E19" w:rsidRPr="00E71156">
        <w:rPr>
          <w:rFonts w:ascii="Times New Roman" w:eastAsia="SimSun" w:hAnsi="Times New Roman" w:cs="Times New Roman"/>
          <w:bCs/>
          <w:sz w:val="24"/>
          <w:szCs w:val="24"/>
          <w:lang w:val="en-IN" w:eastAsia="en-IN"/>
        </w:rPr>
        <w:t xml:space="preserve"> and the repair and maintenance expenses as per norms is Rs. 98.71 Lakhs.</w:t>
      </w:r>
      <w:r w:rsidR="007F60D5" w:rsidRPr="00E71156">
        <w:rPr>
          <w:rFonts w:ascii="Times New Roman" w:eastAsia="SimSun" w:hAnsi="Times New Roman" w:cs="Times New Roman"/>
          <w:bCs/>
          <w:sz w:val="24"/>
          <w:szCs w:val="24"/>
          <w:lang w:val="en-IN" w:eastAsia="en-IN"/>
        </w:rPr>
        <w:t xml:space="preserve"> Repair of plant &amp; machinery comes to Rs.15.82 lakhs , lines &amp; cables comes to Rs.4</w:t>
      </w:r>
      <w:r w:rsidR="00341A23" w:rsidRPr="00E71156">
        <w:rPr>
          <w:rFonts w:ascii="Times New Roman" w:eastAsia="SimSun" w:hAnsi="Times New Roman" w:cs="Times New Roman"/>
          <w:bCs/>
          <w:sz w:val="24"/>
          <w:szCs w:val="24"/>
          <w:lang w:val="en-IN" w:eastAsia="en-IN"/>
        </w:rPr>
        <w:t>7.26</w:t>
      </w:r>
      <w:r w:rsidR="007F60D5" w:rsidRPr="00E71156">
        <w:rPr>
          <w:rFonts w:ascii="Times New Roman" w:eastAsia="SimSun" w:hAnsi="Times New Roman" w:cs="Times New Roman"/>
          <w:bCs/>
          <w:sz w:val="24"/>
          <w:szCs w:val="24"/>
          <w:lang w:val="en-IN" w:eastAsia="en-IN"/>
        </w:rPr>
        <w:t xml:space="preserve"> lakhs and IT &amp; office equipment comes to Rs.11.71 lakhs. </w:t>
      </w:r>
      <w:r w:rsidR="00F96D43" w:rsidRPr="00E71156">
        <w:rPr>
          <w:rFonts w:ascii="Times New Roman" w:eastAsia="SimSun" w:hAnsi="Times New Roman" w:cs="Times New Roman"/>
          <w:bCs/>
          <w:sz w:val="24"/>
          <w:szCs w:val="24"/>
          <w:lang w:val="en-IN" w:eastAsia="en-IN"/>
        </w:rPr>
        <w:t>TCED requests the Hon’ble commission to approve the</w:t>
      </w:r>
      <w:r w:rsidR="00F96D43" w:rsidRPr="00E71156">
        <w:rPr>
          <w:rFonts w:ascii="Times New Roman" w:eastAsia="SimSun" w:hAnsi="Times New Roman" w:cs="Times New Roman"/>
          <w:b/>
          <w:bCs/>
          <w:sz w:val="24"/>
          <w:szCs w:val="24"/>
          <w:lang w:val="en-IN" w:eastAsia="en-IN"/>
        </w:rPr>
        <w:t xml:space="preserve"> </w:t>
      </w:r>
      <w:r w:rsidR="00F96D43" w:rsidRPr="00E71156">
        <w:rPr>
          <w:rFonts w:ascii="Times New Roman" w:eastAsia="SimSun" w:hAnsi="Times New Roman" w:cs="Times New Roman"/>
          <w:bCs/>
          <w:sz w:val="24"/>
          <w:szCs w:val="24"/>
          <w:lang w:val="en-IN" w:eastAsia="en-IN"/>
        </w:rPr>
        <w:t>R&amp; M expense as it is well within the norms.</w:t>
      </w:r>
    </w:p>
    <w:p w:rsidR="00B01148" w:rsidRDefault="00B01148"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1F1BBC" w:rsidRPr="00E71156" w:rsidRDefault="00064D72"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 xml:space="preserve">4.2.3 </w:t>
      </w:r>
      <w:r w:rsidR="00F96D43" w:rsidRPr="00E71156">
        <w:rPr>
          <w:rFonts w:ascii="Times New Roman" w:eastAsia="SimSun" w:hAnsi="Times New Roman" w:cs="Times New Roman"/>
          <w:b/>
          <w:bCs/>
          <w:sz w:val="24"/>
          <w:szCs w:val="24"/>
          <w:lang w:val="en-IN" w:eastAsia="en-IN"/>
        </w:rPr>
        <w:t xml:space="preserve"> </w:t>
      </w:r>
      <w:r w:rsidR="001F1BBC" w:rsidRPr="00E71156">
        <w:rPr>
          <w:rFonts w:ascii="Times New Roman" w:eastAsia="SimSun" w:hAnsi="Times New Roman" w:cs="Times New Roman"/>
          <w:b/>
          <w:bCs/>
          <w:sz w:val="24"/>
          <w:szCs w:val="24"/>
          <w:lang w:val="en-IN" w:eastAsia="en-IN"/>
        </w:rPr>
        <w:t>Administration and General Expenses</w:t>
      </w:r>
    </w:p>
    <w:p w:rsidR="001F1BBC" w:rsidRPr="00E71156" w:rsidRDefault="002B148C"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
          <w:bCs/>
          <w:sz w:val="24"/>
          <w:szCs w:val="24"/>
          <w:lang w:val="en-IN" w:eastAsia="en-IN"/>
        </w:rPr>
        <w:tab/>
      </w:r>
      <w:r w:rsidR="006B3E2E" w:rsidRPr="00E71156">
        <w:rPr>
          <w:rFonts w:ascii="Times New Roman" w:eastAsia="SimSun" w:hAnsi="Times New Roman" w:cs="Times New Roman"/>
          <w:bCs/>
          <w:sz w:val="24"/>
          <w:szCs w:val="24"/>
          <w:lang w:val="en-IN" w:eastAsia="en-IN"/>
        </w:rPr>
        <w:t>The TCED requests the Hon’ble C</w:t>
      </w:r>
      <w:r w:rsidRPr="00E71156">
        <w:rPr>
          <w:rFonts w:ascii="Times New Roman" w:eastAsia="SimSun" w:hAnsi="Times New Roman" w:cs="Times New Roman"/>
          <w:bCs/>
          <w:sz w:val="24"/>
          <w:szCs w:val="24"/>
          <w:lang w:val="en-IN" w:eastAsia="en-IN"/>
        </w:rPr>
        <w:t>ommission to approve the A&amp;G expenses for FY 22-23 at Rs</w:t>
      </w:r>
      <w:r w:rsidR="00575AFB" w:rsidRPr="00E71156">
        <w:rPr>
          <w:rFonts w:ascii="Times New Roman" w:eastAsia="SimSun" w:hAnsi="Times New Roman" w:cs="Times New Roman"/>
          <w:bCs/>
          <w:sz w:val="24"/>
          <w:szCs w:val="24"/>
          <w:lang w:val="en-IN" w:eastAsia="en-IN"/>
        </w:rPr>
        <w:t>.</w:t>
      </w:r>
      <w:r w:rsidR="006B3E2E" w:rsidRPr="00E71156">
        <w:rPr>
          <w:rFonts w:ascii="Times New Roman" w:eastAsia="SimSun" w:hAnsi="Times New Roman" w:cs="Times New Roman"/>
          <w:bCs/>
          <w:sz w:val="24"/>
          <w:szCs w:val="24"/>
          <w:lang w:val="en-IN" w:eastAsia="en-IN"/>
        </w:rPr>
        <w:t xml:space="preserve"> </w:t>
      </w:r>
      <w:r w:rsidR="00F96D43" w:rsidRPr="00E71156">
        <w:rPr>
          <w:rFonts w:ascii="Times New Roman" w:eastAsia="SimSun" w:hAnsi="Times New Roman" w:cs="Times New Roman"/>
          <w:bCs/>
          <w:sz w:val="24"/>
          <w:szCs w:val="24"/>
          <w:lang w:val="en-IN" w:eastAsia="en-IN"/>
        </w:rPr>
        <w:t>304.4</w:t>
      </w:r>
      <w:r w:rsidR="00341A23" w:rsidRPr="00E71156">
        <w:rPr>
          <w:rFonts w:ascii="Times New Roman" w:eastAsia="SimSun" w:hAnsi="Times New Roman" w:cs="Times New Roman"/>
          <w:bCs/>
          <w:sz w:val="24"/>
          <w:szCs w:val="24"/>
          <w:lang w:val="en-IN" w:eastAsia="en-IN"/>
        </w:rPr>
        <w:t>2</w:t>
      </w:r>
      <w:r w:rsidR="006B3E2E" w:rsidRPr="00E71156">
        <w:rPr>
          <w:rFonts w:ascii="Times New Roman" w:eastAsia="SimSun" w:hAnsi="Times New Roman" w:cs="Times New Roman"/>
          <w:bCs/>
          <w:sz w:val="24"/>
          <w:szCs w:val="24"/>
          <w:lang w:val="en-IN" w:eastAsia="en-IN"/>
        </w:rPr>
        <w:t xml:space="preserve">lakhs and the </w:t>
      </w:r>
      <w:r w:rsidR="00076770" w:rsidRPr="00E71156">
        <w:rPr>
          <w:rFonts w:ascii="Times New Roman" w:eastAsia="SimSun" w:hAnsi="Times New Roman" w:cs="Times New Roman"/>
          <w:bCs/>
          <w:sz w:val="24"/>
          <w:szCs w:val="24"/>
          <w:lang w:val="en-IN" w:eastAsia="en-IN"/>
        </w:rPr>
        <w:t>same as per norms is Rs. 106.85</w:t>
      </w:r>
      <w:r w:rsidR="006B3E2E" w:rsidRPr="00E71156">
        <w:rPr>
          <w:rFonts w:ascii="Times New Roman" w:eastAsia="SimSun" w:hAnsi="Times New Roman" w:cs="Times New Roman"/>
          <w:bCs/>
          <w:sz w:val="24"/>
          <w:szCs w:val="24"/>
          <w:lang w:val="en-IN" w:eastAsia="en-IN"/>
        </w:rPr>
        <w:t>Lakhs.  Section 3 Electricity duty a</w:t>
      </w:r>
      <w:r w:rsidR="00575AFB" w:rsidRPr="00E71156">
        <w:rPr>
          <w:rFonts w:ascii="Times New Roman" w:eastAsia="SimSun" w:hAnsi="Times New Roman" w:cs="Times New Roman"/>
          <w:bCs/>
          <w:sz w:val="24"/>
          <w:szCs w:val="24"/>
          <w:lang w:val="en-IN" w:eastAsia="en-IN"/>
        </w:rPr>
        <w:t>n</w:t>
      </w:r>
      <w:r w:rsidR="006B3E2E" w:rsidRPr="00E71156">
        <w:rPr>
          <w:rFonts w:ascii="Times New Roman" w:eastAsia="SimSun" w:hAnsi="Times New Roman" w:cs="Times New Roman"/>
          <w:bCs/>
          <w:sz w:val="24"/>
          <w:szCs w:val="24"/>
          <w:lang w:val="en-IN" w:eastAsia="en-IN"/>
        </w:rPr>
        <w:t xml:space="preserve">d rent are the major components of this expense. Rent fixed by the Corporation Council for the Main office building and Central electricity store is claimed as such. </w:t>
      </w:r>
      <w:r w:rsidR="00575AFB" w:rsidRPr="00E71156">
        <w:rPr>
          <w:rFonts w:ascii="Times New Roman" w:eastAsia="SimSun" w:hAnsi="Times New Roman" w:cs="Times New Roman"/>
          <w:bCs/>
          <w:sz w:val="24"/>
          <w:szCs w:val="24"/>
          <w:lang w:val="en-IN" w:eastAsia="en-IN"/>
        </w:rPr>
        <w:t xml:space="preserve">The </w:t>
      </w:r>
      <w:r w:rsidR="006B3E2E" w:rsidRPr="00E71156">
        <w:rPr>
          <w:rFonts w:ascii="Times New Roman" w:eastAsia="SimSun" w:hAnsi="Times New Roman" w:cs="Times New Roman"/>
          <w:bCs/>
          <w:sz w:val="24"/>
          <w:szCs w:val="24"/>
          <w:lang w:val="en-IN" w:eastAsia="en-IN"/>
        </w:rPr>
        <w:t>TCED has taken</w:t>
      </w:r>
      <w:r w:rsidR="00575AFB" w:rsidRPr="00E71156">
        <w:rPr>
          <w:rFonts w:ascii="Times New Roman" w:eastAsia="SimSun" w:hAnsi="Times New Roman" w:cs="Times New Roman"/>
          <w:bCs/>
          <w:sz w:val="24"/>
          <w:szCs w:val="24"/>
          <w:lang w:val="en-IN" w:eastAsia="en-IN"/>
        </w:rPr>
        <w:t xml:space="preserve"> up</w:t>
      </w:r>
      <w:r w:rsidR="006B3E2E" w:rsidRPr="00E71156">
        <w:rPr>
          <w:rFonts w:ascii="Times New Roman" w:eastAsia="SimSun" w:hAnsi="Times New Roman" w:cs="Times New Roman"/>
          <w:bCs/>
          <w:sz w:val="24"/>
          <w:szCs w:val="24"/>
          <w:lang w:val="en-IN" w:eastAsia="en-IN"/>
        </w:rPr>
        <w:t xml:space="preserve"> measures as per the </w:t>
      </w:r>
      <w:r w:rsidR="00575AFB" w:rsidRPr="00E71156">
        <w:rPr>
          <w:rFonts w:ascii="Times New Roman" w:eastAsia="SimSun" w:hAnsi="Times New Roman" w:cs="Times New Roman"/>
          <w:bCs/>
          <w:sz w:val="24"/>
          <w:szCs w:val="24"/>
          <w:lang w:val="en-IN" w:eastAsia="en-IN"/>
        </w:rPr>
        <w:t xml:space="preserve">direction of the Hon’ble Commission and the results for the same are awaited and will be updated in the upcoming true ups. Section 3 duty is included again to substantiate the earlier request to allow it as an expense. Due to the frequent bulk supply tariff revision by the Hon’ble KSERC based on the regulatory surplus of the TCED, the margin </w:t>
      </w:r>
      <w:r w:rsidR="00BE75C6" w:rsidRPr="00E71156">
        <w:rPr>
          <w:rFonts w:ascii="Times New Roman" w:eastAsia="SimSun" w:hAnsi="Times New Roman" w:cs="Times New Roman"/>
          <w:bCs/>
          <w:sz w:val="24"/>
          <w:szCs w:val="24"/>
          <w:lang w:val="en-IN" w:eastAsia="en-IN"/>
        </w:rPr>
        <w:t xml:space="preserve">between purchase and sale of power is getting narrowed year by year and disallowance of expenses like this will for sure have an adverse impact on  </w:t>
      </w:r>
      <w:r w:rsidR="00076770" w:rsidRPr="00E71156">
        <w:rPr>
          <w:rFonts w:ascii="Times New Roman" w:eastAsia="SimSun" w:hAnsi="Times New Roman" w:cs="Times New Roman"/>
          <w:bCs/>
          <w:sz w:val="24"/>
          <w:szCs w:val="24"/>
          <w:lang w:val="en-IN" w:eastAsia="en-IN"/>
        </w:rPr>
        <w:t>the very existence</w:t>
      </w:r>
      <w:r w:rsidR="00BE75C6" w:rsidRPr="00E71156">
        <w:rPr>
          <w:rFonts w:ascii="Times New Roman" w:eastAsia="SimSun" w:hAnsi="Times New Roman" w:cs="Times New Roman"/>
          <w:bCs/>
          <w:sz w:val="24"/>
          <w:szCs w:val="24"/>
          <w:lang w:val="en-IN" w:eastAsia="en-IN"/>
        </w:rPr>
        <w:t xml:space="preserve"> of</w:t>
      </w:r>
      <w:r w:rsidR="00076770" w:rsidRPr="00E71156">
        <w:rPr>
          <w:rFonts w:ascii="Times New Roman" w:eastAsia="SimSun" w:hAnsi="Times New Roman" w:cs="Times New Roman"/>
          <w:bCs/>
          <w:sz w:val="24"/>
          <w:szCs w:val="24"/>
          <w:lang w:val="en-IN" w:eastAsia="en-IN"/>
        </w:rPr>
        <w:t xml:space="preserve"> the</w:t>
      </w:r>
      <w:r w:rsidR="00BE75C6" w:rsidRPr="00E71156">
        <w:rPr>
          <w:rFonts w:ascii="Times New Roman" w:eastAsia="SimSun" w:hAnsi="Times New Roman" w:cs="Times New Roman"/>
          <w:bCs/>
          <w:sz w:val="24"/>
          <w:szCs w:val="24"/>
          <w:lang w:val="en-IN" w:eastAsia="en-IN"/>
        </w:rPr>
        <w:t xml:space="preserve"> TCED. </w:t>
      </w:r>
      <w:r w:rsidR="002B5C5F" w:rsidRPr="00E71156">
        <w:rPr>
          <w:rFonts w:ascii="Times New Roman" w:eastAsia="SimSun" w:hAnsi="Times New Roman" w:cs="Times New Roman"/>
          <w:bCs/>
          <w:sz w:val="24"/>
          <w:szCs w:val="24"/>
          <w:lang w:val="en-IN" w:eastAsia="en-IN"/>
        </w:rPr>
        <w:t>The a</w:t>
      </w:r>
      <w:r w:rsidR="006A264D" w:rsidRPr="00E71156">
        <w:rPr>
          <w:rFonts w:ascii="Times New Roman" w:eastAsia="SimSun" w:hAnsi="Times New Roman" w:cs="Times New Roman"/>
          <w:bCs/>
          <w:sz w:val="24"/>
          <w:szCs w:val="24"/>
          <w:lang w:val="en-IN" w:eastAsia="en-IN"/>
        </w:rPr>
        <w:t xml:space="preserve">ccident compensation given to a </w:t>
      </w:r>
      <w:r w:rsidR="006A264D" w:rsidRPr="00E71156">
        <w:rPr>
          <w:rFonts w:ascii="Times New Roman" w:eastAsia="SimSun" w:hAnsi="Times New Roman" w:cs="Times New Roman"/>
          <w:bCs/>
          <w:sz w:val="24"/>
          <w:szCs w:val="24"/>
          <w:lang w:val="en-IN" w:eastAsia="en-IN"/>
        </w:rPr>
        <w:lastRenderedPageBreak/>
        <w:t>deceased contract worker as per court verdict amounts to Rs. 10.16</w:t>
      </w:r>
      <w:r w:rsidR="002B5C5F" w:rsidRPr="00E71156">
        <w:rPr>
          <w:rFonts w:ascii="Times New Roman" w:eastAsia="SimSun" w:hAnsi="Times New Roman" w:cs="Times New Roman"/>
          <w:bCs/>
          <w:sz w:val="24"/>
          <w:szCs w:val="24"/>
          <w:lang w:val="en-IN" w:eastAsia="en-IN"/>
        </w:rPr>
        <w:t xml:space="preserve"> </w:t>
      </w:r>
      <w:r w:rsidR="006A264D" w:rsidRPr="00E71156">
        <w:rPr>
          <w:rFonts w:ascii="Times New Roman" w:eastAsia="SimSun" w:hAnsi="Times New Roman" w:cs="Times New Roman"/>
          <w:bCs/>
          <w:sz w:val="24"/>
          <w:szCs w:val="24"/>
          <w:lang w:val="en-IN" w:eastAsia="en-IN"/>
        </w:rPr>
        <w:t>Lakhs.</w:t>
      </w:r>
      <w:r w:rsidR="00221947" w:rsidRPr="00E71156">
        <w:rPr>
          <w:rFonts w:ascii="Times New Roman" w:eastAsia="SimSun" w:hAnsi="Times New Roman" w:cs="Times New Roman"/>
          <w:bCs/>
          <w:sz w:val="24"/>
          <w:szCs w:val="24"/>
          <w:lang w:val="en-IN" w:eastAsia="en-IN"/>
        </w:rPr>
        <w:t xml:space="preserve"> Other professional charges include the following</w:t>
      </w:r>
      <w:r w:rsidR="002B5C5F" w:rsidRPr="00E71156">
        <w:rPr>
          <w:rFonts w:ascii="Times New Roman" w:eastAsia="SimSun" w:hAnsi="Times New Roman" w:cs="Times New Roman"/>
          <w:bCs/>
          <w:sz w:val="24"/>
          <w:szCs w:val="24"/>
          <w:lang w:val="en-IN" w:eastAsia="en-IN"/>
        </w:rPr>
        <w:t>, inspection fee Rs 1.36 Lakhs, Testing fee of transformers, meters and vehicles comes to Rs. 22.5 Lakhs, testing fee of substation Rs. 5.98 Lakhs and project processing fee Rs. 1.09 Lakhs.</w:t>
      </w:r>
      <w:r w:rsidR="00331549" w:rsidRPr="00E71156">
        <w:rPr>
          <w:rFonts w:ascii="Times New Roman" w:eastAsia="SimSun" w:hAnsi="Times New Roman" w:cs="Times New Roman"/>
          <w:bCs/>
          <w:sz w:val="24"/>
          <w:szCs w:val="24"/>
          <w:lang w:val="en-IN" w:eastAsia="en-IN"/>
        </w:rPr>
        <w:t xml:space="preserve"> Consultancy charges is the expenses incurred for the mandatory Energy audit conducted by EMC Rs. </w:t>
      </w:r>
      <w:r w:rsidR="00B66BD4" w:rsidRPr="00E71156">
        <w:rPr>
          <w:rFonts w:ascii="Times New Roman" w:eastAsia="SimSun" w:hAnsi="Times New Roman" w:cs="Times New Roman"/>
          <w:bCs/>
          <w:sz w:val="24"/>
          <w:szCs w:val="24"/>
          <w:lang w:val="en-IN" w:eastAsia="en-IN"/>
        </w:rPr>
        <w:t>10.62 lakhs and the amount given for preparation of DPR for RDSS projects Rs. 2.29 Lakhs.</w:t>
      </w:r>
      <w:r w:rsidR="0022416E" w:rsidRPr="00E71156">
        <w:rPr>
          <w:rFonts w:ascii="Times New Roman" w:eastAsia="SimSun" w:hAnsi="Times New Roman" w:cs="Times New Roman"/>
          <w:bCs/>
          <w:sz w:val="24"/>
          <w:szCs w:val="24"/>
          <w:lang w:val="en-IN" w:eastAsia="en-IN"/>
        </w:rPr>
        <w:t xml:space="preserve"> Conveyance Rs. 27.47  Lakhs is the vehicle hiring charges for 4 section offices. Minor expenses like  discount  given for advance remittance Rs. 1.56 Lakhs</w:t>
      </w:r>
      <w:r w:rsidR="00076770" w:rsidRPr="00E71156">
        <w:rPr>
          <w:rFonts w:ascii="Times New Roman" w:eastAsia="SimSun" w:hAnsi="Times New Roman" w:cs="Times New Roman"/>
          <w:bCs/>
          <w:sz w:val="24"/>
          <w:szCs w:val="24"/>
          <w:lang w:val="en-IN" w:eastAsia="en-IN"/>
        </w:rPr>
        <w:t xml:space="preserve">, imprest expense Rs. 5.94lakhs, meeting related expense 0.27 lakhs, general charges </w:t>
      </w:r>
      <w:r w:rsidR="00877AB0" w:rsidRPr="00E71156">
        <w:rPr>
          <w:rFonts w:ascii="Times New Roman" w:eastAsia="SimSun" w:hAnsi="Times New Roman" w:cs="Times New Roman"/>
          <w:bCs/>
          <w:sz w:val="24"/>
          <w:szCs w:val="24"/>
          <w:lang w:val="en-IN" w:eastAsia="en-IN"/>
        </w:rPr>
        <w:t>0.14 lakhs form part of m</w:t>
      </w:r>
      <w:r w:rsidR="0022416E" w:rsidRPr="00E71156">
        <w:rPr>
          <w:rFonts w:ascii="Times New Roman" w:eastAsia="SimSun" w:hAnsi="Times New Roman" w:cs="Times New Roman"/>
          <w:bCs/>
          <w:sz w:val="24"/>
          <w:szCs w:val="24"/>
          <w:lang w:val="en-IN" w:eastAsia="en-IN"/>
        </w:rPr>
        <w:t>iscellaneous expenses</w:t>
      </w:r>
      <w:r w:rsidR="00877AB0" w:rsidRPr="00E71156">
        <w:rPr>
          <w:rFonts w:ascii="Times New Roman" w:eastAsia="SimSun" w:hAnsi="Times New Roman" w:cs="Times New Roman"/>
          <w:bCs/>
          <w:sz w:val="24"/>
          <w:szCs w:val="24"/>
          <w:lang w:val="en-IN" w:eastAsia="en-IN"/>
        </w:rPr>
        <w:t xml:space="preserve"> of Rs.7.92lakhs. Bank charges of Rs. 6.82lakhs is the amount charged by the banks for issuing / renewing bank guarantees.</w:t>
      </w:r>
      <w:r w:rsidR="00755CB0" w:rsidRPr="00E71156">
        <w:rPr>
          <w:rFonts w:ascii="Times New Roman" w:eastAsia="SimSun" w:hAnsi="Times New Roman" w:cs="Times New Roman"/>
          <w:bCs/>
          <w:sz w:val="24"/>
          <w:szCs w:val="24"/>
          <w:lang w:val="en-IN" w:eastAsia="en-IN"/>
        </w:rPr>
        <w:t xml:space="preserve"> The wages given to security staff on contract Rs. 19.51lakhs is also accounted under A&amp;G expenses.</w:t>
      </w:r>
      <w:r w:rsidR="00877AB0" w:rsidRPr="00E71156">
        <w:rPr>
          <w:rFonts w:ascii="Times New Roman" w:eastAsia="SimSun" w:hAnsi="Times New Roman" w:cs="Times New Roman"/>
          <w:bCs/>
          <w:sz w:val="24"/>
          <w:szCs w:val="24"/>
          <w:lang w:val="en-IN" w:eastAsia="en-IN"/>
        </w:rPr>
        <w:t xml:space="preserve"> </w:t>
      </w:r>
      <w:r w:rsidR="00370FE9" w:rsidRPr="00E71156">
        <w:rPr>
          <w:rFonts w:ascii="Times New Roman" w:eastAsia="SimSun" w:hAnsi="Times New Roman" w:cs="Times New Roman"/>
          <w:bCs/>
          <w:sz w:val="24"/>
          <w:szCs w:val="24"/>
          <w:lang w:val="en-IN" w:eastAsia="en-IN"/>
        </w:rPr>
        <w:t xml:space="preserve">Based on the above disclosures, TCED humbly prays to approve the A &amp; G </w:t>
      </w:r>
      <w:r w:rsidR="0022416E" w:rsidRPr="00E71156">
        <w:rPr>
          <w:rFonts w:ascii="Times New Roman" w:eastAsia="SimSun" w:hAnsi="Times New Roman" w:cs="Times New Roman"/>
          <w:bCs/>
          <w:sz w:val="24"/>
          <w:szCs w:val="24"/>
          <w:lang w:val="en-IN" w:eastAsia="en-IN"/>
        </w:rPr>
        <w:t xml:space="preserve"> </w:t>
      </w:r>
      <w:r w:rsidR="00370FE9" w:rsidRPr="00E71156">
        <w:rPr>
          <w:rFonts w:ascii="Times New Roman" w:eastAsia="SimSun" w:hAnsi="Times New Roman" w:cs="Times New Roman"/>
          <w:bCs/>
          <w:sz w:val="24"/>
          <w:szCs w:val="24"/>
          <w:lang w:val="en-IN" w:eastAsia="en-IN"/>
        </w:rPr>
        <w:t>expenses as the Hon’ble Commission deem fit.</w:t>
      </w:r>
    </w:p>
    <w:p w:rsidR="00B01148" w:rsidRDefault="00B01148" w:rsidP="00B01148">
      <w:pPr>
        <w:pStyle w:val="ListParagraph"/>
        <w:autoSpaceDE w:val="0"/>
        <w:autoSpaceDN w:val="0"/>
        <w:adjustRightInd w:val="0"/>
        <w:spacing w:after="0" w:line="360" w:lineRule="auto"/>
        <w:ind w:left="1200"/>
        <w:jc w:val="both"/>
        <w:rPr>
          <w:rFonts w:ascii="Times New Roman" w:eastAsia="SimSun" w:hAnsi="Times New Roman" w:cs="Times New Roman"/>
          <w:b/>
          <w:bCs/>
          <w:sz w:val="24"/>
          <w:szCs w:val="24"/>
          <w:lang w:val="en-IN" w:eastAsia="en-IN"/>
        </w:rPr>
      </w:pPr>
    </w:p>
    <w:p w:rsidR="00B01148" w:rsidRDefault="00B01148" w:rsidP="00B01148">
      <w:pPr>
        <w:pStyle w:val="ListParagraph"/>
        <w:autoSpaceDE w:val="0"/>
        <w:autoSpaceDN w:val="0"/>
        <w:adjustRightInd w:val="0"/>
        <w:spacing w:after="0" w:line="360" w:lineRule="auto"/>
        <w:ind w:left="1200"/>
        <w:jc w:val="both"/>
        <w:rPr>
          <w:rFonts w:ascii="Times New Roman" w:eastAsia="SimSun" w:hAnsi="Times New Roman" w:cs="Times New Roman"/>
          <w:b/>
          <w:bCs/>
          <w:sz w:val="24"/>
          <w:szCs w:val="24"/>
          <w:lang w:val="en-IN" w:eastAsia="en-IN"/>
        </w:rPr>
      </w:pPr>
    </w:p>
    <w:p w:rsidR="00B01148" w:rsidRDefault="00B01148" w:rsidP="00B01148">
      <w:pPr>
        <w:pStyle w:val="ListParagraph"/>
        <w:autoSpaceDE w:val="0"/>
        <w:autoSpaceDN w:val="0"/>
        <w:adjustRightInd w:val="0"/>
        <w:spacing w:after="0" w:line="360" w:lineRule="auto"/>
        <w:ind w:left="1200"/>
        <w:jc w:val="both"/>
        <w:rPr>
          <w:rFonts w:ascii="Times New Roman" w:eastAsia="SimSun" w:hAnsi="Times New Roman" w:cs="Times New Roman"/>
          <w:b/>
          <w:bCs/>
          <w:sz w:val="24"/>
          <w:szCs w:val="24"/>
          <w:lang w:val="en-IN" w:eastAsia="en-IN"/>
        </w:rPr>
      </w:pPr>
    </w:p>
    <w:p w:rsidR="00280CFB" w:rsidRPr="00E71156" w:rsidRDefault="009750E1" w:rsidP="009750E1">
      <w:pPr>
        <w:pStyle w:val="ListParagraph"/>
        <w:numPr>
          <w:ilvl w:val="1"/>
          <w:numId w:val="12"/>
        </w:num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Fixed Assets capitalised during the year</w:t>
      </w:r>
    </w:p>
    <w:tbl>
      <w:tblPr>
        <w:tblW w:w="8234" w:type="dxa"/>
        <w:tblInd w:w="96" w:type="dxa"/>
        <w:tblLayout w:type="fixed"/>
        <w:tblLook w:val="04A0"/>
      </w:tblPr>
      <w:tblGrid>
        <w:gridCol w:w="1022"/>
        <w:gridCol w:w="3243"/>
        <w:gridCol w:w="1843"/>
        <w:gridCol w:w="2126"/>
      </w:tblGrid>
      <w:tr w:rsidR="00696083" w:rsidRPr="00E71156" w:rsidTr="00696083">
        <w:trPr>
          <w:trHeight w:val="333"/>
        </w:trPr>
        <w:tc>
          <w:tcPr>
            <w:tcW w:w="1022" w:type="dxa"/>
            <w:tcBorders>
              <w:top w:val="single" w:sz="8" w:space="0" w:color="auto"/>
              <w:left w:val="single" w:sz="8" w:space="0" w:color="auto"/>
              <w:bottom w:val="nil"/>
              <w:right w:val="single" w:sz="4" w:space="0" w:color="auto"/>
            </w:tcBorders>
            <w:shd w:val="clear" w:color="000000" w:fill="FCD5B4"/>
            <w:vAlign w:val="center"/>
            <w:hideMark/>
          </w:tcPr>
          <w:p w:rsidR="00696083" w:rsidRPr="00E71156" w:rsidRDefault="00696083" w:rsidP="009750E1">
            <w:pPr>
              <w:spacing w:after="0" w:line="240" w:lineRule="auto"/>
              <w:jc w:val="right"/>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S. No.</w:t>
            </w:r>
          </w:p>
        </w:tc>
        <w:tc>
          <w:tcPr>
            <w:tcW w:w="3243" w:type="dxa"/>
            <w:tcBorders>
              <w:top w:val="single" w:sz="8" w:space="0" w:color="auto"/>
              <w:left w:val="nil"/>
              <w:bottom w:val="nil"/>
              <w:right w:val="single" w:sz="4" w:space="0" w:color="auto"/>
            </w:tcBorders>
            <w:shd w:val="clear" w:color="000000" w:fill="FCD5B4"/>
            <w:vAlign w:val="center"/>
            <w:hideMark/>
          </w:tcPr>
          <w:p w:rsidR="00696083" w:rsidRPr="00E71156" w:rsidRDefault="00696083"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Asset Group (as per notification in respect of depreciation)</w:t>
            </w:r>
          </w:p>
        </w:tc>
        <w:tc>
          <w:tcPr>
            <w:tcW w:w="3969" w:type="dxa"/>
            <w:gridSpan w:val="2"/>
            <w:tcBorders>
              <w:top w:val="single" w:sz="8" w:space="0" w:color="auto"/>
              <w:left w:val="nil"/>
              <w:bottom w:val="single" w:sz="4" w:space="0" w:color="auto"/>
              <w:right w:val="single" w:sz="4" w:space="0" w:color="auto"/>
            </w:tcBorders>
            <w:shd w:val="clear" w:color="000000" w:fill="FCD5B4"/>
            <w:noWrap/>
            <w:vAlign w:val="center"/>
            <w:hideMark/>
          </w:tcPr>
          <w:p w:rsidR="00696083" w:rsidRPr="00E71156" w:rsidRDefault="00696083"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 Fixed Assets</w:t>
            </w:r>
          </w:p>
          <w:p w:rsidR="00696083" w:rsidRPr="00E71156" w:rsidRDefault="00696083"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 </w:t>
            </w:r>
          </w:p>
        </w:tc>
      </w:tr>
      <w:tr w:rsidR="009750E1" w:rsidRPr="00E71156" w:rsidTr="00696083">
        <w:trPr>
          <w:trHeight w:val="570"/>
        </w:trPr>
        <w:tc>
          <w:tcPr>
            <w:tcW w:w="1022" w:type="dxa"/>
            <w:tcBorders>
              <w:top w:val="nil"/>
              <w:left w:val="single" w:sz="8" w:space="0" w:color="auto"/>
              <w:bottom w:val="single" w:sz="8" w:space="0" w:color="auto"/>
              <w:right w:val="single" w:sz="4" w:space="0" w:color="auto"/>
            </w:tcBorders>
            <w:shd w:val="clear" w:color="000000" w:fill="FCD5B4"/>
            <w:vAlign w:val="center"/>
            <w:hideMark/>
          </w:tcPr>
          <w:p w:rsidR="009750E1" w:rsidRPr="00E71156" w:rsidRDefault="009750E1" w:rsidP="009750E1">
            <w:pPr>
              <w:spacing w:after="0" w:line="240" w:lineRule="auto"/>
              <w:jc w:val="right"/>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 </w:t>
            </w:r>
          </w:p>
        </w:tc>
        <w:tc>
          <w:tcPr>
            <w:tcW w:w="3243" w:type="dxa"/>
            <w:tcBorders>
              <w:top w:val="nil"/>
              <w:left w:val="nil"/>
              <w:bottom w:val="single" w:sz="8" w:space="0" w:color="auto"/>
              <w:right w:val="single" w:sz="4" w:space="0" w:color="auto"/>
            </w:tcBorders>
            <w:shd w:val="clear" w:color="000000" w:fill="FCD5B4"/>
            <w:vAlign w:val="center"/>
            <w:hideMark/>
          </w:tcPr>
          <w:p w:rsidR="009750E1" w:rsidRPr="00E71156" w:rsidRDefault="009750E1"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 </w:t>
            </w:r>
          </w:p>
        </w:tc>
        <w:tc>
          <w:tcPr>
            <w:tcW w:w="1843" w:type="dxa"/>
            <w:tcBorders>
              <w:top w:val="nil"/>
              <w:left w:val="nil"/>
              <w:bottom w:val="single" w:sz="8" w:space="0" w:color="auto"/>
              <w:right w:val="single" w:sz="4" w:space="0" w:color="auto"/>
            </w:tcBorders>
            <w:shd w:val="clear" w:color="000000" w:fill="FCD5B4"/>
            <w:vAlign w:val="center"/>
            <w:hideMark/>
          </w:tcPr>
          <w:p w:rsidR="009750E1" w:rsidRPr="00E71156" w:rsidRDefault="009750E1"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Additions during the year</w:t>
            </w:r>
          </w:p>
        </w:tc>
        <w:tc>
          <w:tcPr>
            <w:tcW w:w="2126" w:type="dxa"/>
            <w:tcBorders>
              <w:top w:val="nil"/>
              <w:left w:val="nil"/>
              <w:bottom w:val="single" w:sz="8" w:space="0" w:color="auto"/>
              <w:right w:val="single" w:sz="4" w:space="0" w:color="auto"/>
            </w:tcBorders>
            <w:shd w:val="clear" w:color="000000" w:fill="FCD5B4"/>
            <w:vAlign w:val="center"/>
            <w:hideMark/>
          </w:tcPr>
          <w:p w:rsidR="009750E1" w:rsidRPr="00E71156" w:rsidRDefault="009750E1"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Adjustment &amp; deducitons</w:t>
            </w:r>
          </w:p>
        </w:tc>
      </w:tr>
      <w:tr w:rsidR="009750E1" w:rsidRPr="00E71156" w:rsidTr="00696083">
        <w:trPr>
          <w:trHeight w:val="211"/>
        </w:trPr>
        <w:tc>
          <w:tcPr>
            <w:tcW w:w="1022" w:type="dxa"/>
            <w:tcBorders>
              <w:top w:val="nil"/>
              <w:left w:val="single" w:sz="4" w:space="0" w:color="auto"/>
              <w:bottom w:val="nil"/>
              <w:right w:val="single" w:sz="4" w:space="0" w:color="auto"/>
            </w:tcBorders>
            <w:shd w:val="clear" w:color="000000" w:fill="FCD5B4"/>
            <w:noWrap/>
            <w:vAlign w:val="bottom"/>
            <w:hideMark/>
          </w:tcPr>
          <w:p w:rsidR="009750E1" w:rsidRPr="00E71156" w:rsidRDefault="009750E1"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1</w:t>
            </w:r>
          </w:p>
        </w:tc>
        <w:tc>
          <w:tcPr>
            <w:tcW w:w="3243" w:type="dxa"/>
            <w:tcBorders>
              <w:top w:val="nil"/>
              <w:left w:val="nil"/>
              <w:bottom w:val="nil"/>
              <w:right w:val="single" w:sz="4" w:space="0" w:color="auto"/>
            </w:tcBorders>
            <w:shd w:val="clear" w:color="000000" w:fill="FCD5B4"/>
            <w:vAlign w:val="bottom"/>
            <w:hideMark/>
          </w:tcPr>
          <w:p w:rsidR="009750E1" w:rsidRPr="00E71156" w:rsidRDefault="009750E1" w:rsidP="009750E1">
            <w:pPr>
              <w:spacing w:after="0" w:line="240" w:lineRule="auto"/>
              <w:jc w:val="center"/>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2</w:t>
            </w:r>
          </w:p>
        </w:tc>
        <w:tc>
          <w:tcPr>
            <w:tcW w:w="1843" w:type="dxa"/>
            <w:tcBorders>
              <w:top w:val="nil"/>
              <w:left w:val="nil"/>
              <w:bottom w:val="single" w:sz="8" w:space="0" w:color="auto"/>
              <w:right w:val="single" w:sz="4" w:space="0" w:color="auto"/>
            </w:tcBorders>
            <w:shd w:val="clear" w:color="000000" w:fill="FCD5B4"/>
            <w:noWrap/>
            <w:vAlign w:val="bottom"/>
            <w:hideMark/>
          </w:tcPr>
          <w:p w:rsidR="009750E1" w:rsidRPr="00E71156" w:rsidRDefault="009750E1"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5</w:t>
            </w:r>
          </w:p>
        </w:tc>
        <w:tc>
          <w:tcPr>
            <w:tcW w:w="2126" w:type="dxa"/>
            <w:tcBorders>
              <w:top w:val="nil"/>
              <w:left w:val="nil"/>
              <w:bottom w:val="single" w:sz="8" w:space="0" w:color="auto"/>
              <w:right w:val="single" w:sz="4" w:space="0" w:color="auto"/>
            </w:tcBorders>
            <w:shd w:val="clear" w:color="000000" w:fill="FCD5B4"/>
            <w:noWrap/>
            <w:vAlign w:val="bottom"/>
            <w:hideMark/>
          </w:tcPr>
          <w:p w:rsidR="009750E1" w:rsidRPr="00E71156" w:rsidRDefault="009750E1" w:rsidP="009750E1">
            <w:pPr>
              <w:spacing w:after="0" w:line="240" w:lineRule="auto"/>
              <w:jc w:val="center"/>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6</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696083"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1</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LT Distribution system </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a)</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Distribution lines</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85.37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B7447C" w:rsidP="009750E1">
            <w:pPr>
              <w:spacing w:after="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       24.28</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b)</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Sub-station equipments</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19.78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8.53 </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696083"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2</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Meters</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14.37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B7447C" w:rsidP="00B7447C">
            <w:pPr>
              <w:spacing w:after="0" w:line="240" w:lineRule="auto"/>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             -</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696083"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3</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Furniture &amp; fixtures</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0.69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   </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696083"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4</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Office Equipments</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0.13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   </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696083"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5</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IT Equipments</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14.58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   </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696083" w:rsidP="009750E1">
            <w:pPr>
              <w:spacing w:after="0" w:line="240" w:lineRule="auto"/>
              <w:jc w:val="right"/>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6</w:t>
            </w: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Software</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2.36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 xml:space="preserve">             -   </w:t>
            </w:r>
          </w:p>
        </w:tc>
      </w:tr>
      <w:tr w:rsidR="009750E1" w:rsidRPr="00E71156" w:rsidTr="00696083">
        <w:trPr>
          <w:trHeight w:val="345"/>
        </w:trPr>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jc w:val="right"/>
              <w:rPr>
                <w:rFonts w:ascii="Times New Roman" w:eastAsia="Times New Roman" w:hAnsi="Times New Roman" w:cs="Times New Roman"/>
                <w:color w:val="000000"/>
                <w:sz w:val="24"/>
                <w:szCs w:val="24"/>
                <w:lang w:val="en-IN" w:eastAsia="en-IN"/>
              </w:rPr>
            </w:pPr>
          </w:p>
        </w:tc>
        <w:tc>
          <w:tcPr>
            <w:tcW w:w="3243" w:type="dxa"/>
            <w:tcBorders>
              <w:top w:val="single" w:sz="4" w:space="0" w:color="auto"/>
              <w:left w:val="nil"/>
              <w:bottom w:val="single" w:sz="4" w:space="0" w:color="auto"/>
              <w:right w:val="single" w:sz="4" w:space="0" w:color="auto"/>
            </w:tcBorders>
            <w:shd w:val="clear" w:color="000000" w:fill="FFFFFF"/>
            <w:vAlign w:val="bottom"/>
            <w:hideMark/>
          </w:tcPr>
          <w:p w:rsidR="009750E1" w:rsidRPr="00E71156" w:rsidRDefault="009750E1" w:rsidP="009750E1">
            <w:pPr>
              <w:spacing w:after="0" w:line="240" w:lineRule="auto"/>
              <w:rPr>
                <w:rFonts w:ascii="Times New Roman" w:eastAsia="Times New Roman" w:hAnsi="Times New Roman" w:cs="Times New Roman"/>
                <w:color w:val="000000"/>
                <w:sz w:val="24"/>
                <w:szCs w:val="24"/>
                <w:lang w:val="en-IN" w:eastAsia="en-IN"/>
              </w:rPr>
            </w:pPr>
            <w:r w:rsidRPr="00E71156">
              <w:rPr>
                <w:rFonts w:ascii="Times New Roman" w:eastAsia="Times New Roman" w:hAnsi="Times New Roman" w:cs="Times New Roman"/>
                <w:color w:val="000000"/>
                <w:sz w:val="24"/>
                <w:szCs w:val="24"/>
                <w:lang w:val="en-IN" w:eastAsia="en-IN"/>
              </w:rPr>
              <w:t>Gross Asset (Total (1) to (15))</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9750E1">
            <w:pPr>
              <w:spacing w:after="0" w:line="240" w:lineRule="auto"/>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 xml:space="preserve">     137.29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9750E1" w:rsidRPr="00E71156" w:rsidRDefault="009750E1" w:rsidP="00341A23">
            <w:pPr>
              <w:spacing w:after="0" w:line="240" w:lineRule="auto"/>
              <w:rPr>
                <w:rFonts w:ascii="Times New Roman" w:eastAsia="Times New Roman" w:hAnsi="Times New Roman" w:cs="Times New Roman"/>
                <w:b/>
                <w:bCs/>
                <w:color w:val="000000"/>
                <w:sz w:val="24"/>
                <w:szCs w:val="24"/>
                <w:lang w:val="en-IN" w:eastAsia="en-IN"/>
              </w:rPr>
            </w:pPr>
            <w:r w:rsidRPr="00E71156">
              <w:rPr>
                <w:rFonts w:ascii="Times New Roman" w:eastAsia="Times New Roman" w:hAnsi="Times New Roman" w:cs="Times New Roman"/>
                <w:b/>
                <w:bCs/>
                <w:color w:val="000000"/>
                <w:sz w:val="24"/>
                <w:szCs w:val="24"/>
                <w:lang w:val="en-IN" w:eastAsia="en-IN"/>
              </w:rPr>
              <w:t xml:space="preserve">       </w:t>
            </w:r>
            <w:r w:rsidR="00B7447C">
              <w:rPr>
                <w:rFonts w:ascii="Times New Roman" w:eastAsia="Times New Roman" w:hAnsi="Times New Roman" w:cs="Times New Roman"/>
                <w:b/>
                <w:bCs/>
                <w:color w:val="000000"/>
                <w:sz w:val="24"/>
                <w:szCs w:val="24"/>
                <w:lang w:val="en-IN" w:eastAsia="en-IN"/>
              </w:rPr>
              <w:t>32.81</w:t>
            </w:r>
            <w:r w:rsidRPr="00E71156">
              <w:rPr>
                <w:rFonts w:ascii="Times New Roman" w:eastAsia="Times New Roman" w:hAnsi="Times New Roman" w:cs="Times New Roman"/>
                <w:b/>
                <w:bCs/>
                <w:color w:val="000000"/>
                <w:sz w:val="24"/>
                <w:szCs w:val="24"/>
                <w:lang w:val="en-IN" w:eastAsia="en-IN"/>
              </w:rPr>
              <w:t xml:space="preserve"> </w:t>
            </w:r>
          </w:p>
        </w:tc>
      </w:tr>
    </w:tbl>
    <w:p w:rsidR="009750E1" w:rsidRPr="00E71156" w:rsidRDefault="009750E1" w:rsidP="009750E1">
      <w:pPr>
        <w:pStyle w:val="ListParagraph"/>
        <w:autoSpaceDE w:val="0"/>
        <w:autoSpaceDN w:val="0"/>
        <w:adjustRightInd w:val="0"/>
        <w:spacing w:after="0" w:line="360" w:lineRule="auto"/>
        <w:ind w:left="1200"/>
        <w:jc w:val="both"/>
        <w:rPr>
          <w:rFonts w:ascii="Times New Roman" w:eastAsia="SimSun" w:hAnsi="Times New Roman" w:cs="Times New Roman"/>
          <w:bCs/>
          <w:sz w:val="24"/>
          <w:szCs w:val="24"/>
          <w:lang w:val="en-IN" w:eastAsia="en-IN"/>
        </w:rPr>
      </w:pPr>
    </w:p>
    <w:p w:rsidR="00F97A38" w:rsidRPr="00E71156" w:rsidRDefault="00F97A38"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Consumer Contribution</w:t>
      </w:r>
    </w:p>
    <w:p w:rsidR="00F97A38" w:rsidRPr="00E71156" w:rsidRDefault="00F97A38"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Consumers Contribution for service connection lines and associated works amounts to Rs.13.</w:t>
      </w:r>
      <w:r w:rsidR="00C50977">
        <w:rPr>
          <w:rFonts w:ascii="Times New Roman" w:eastAsia="SimSun" w:hAnsi="Times New Roman" w:cs="Times New Roman"/>
          <w:sz w:val="24"/>
          <w:szCs w:val="24"/>
          <w:lang w:val="en-IN" w:eastAsia="en-IN"/>
        </w:rPr>
        <w:t>5</w:t>
      </w:r>
      <w:r w:rsidRPr="00E71156">
        <w:rPr>
          <w:rFonts w:ascii="Times New Roman" w:eastAsia="SimSun" w:hAnsi="Times New Roman" w:cs="Times New Roman"/>
          <w:sz w:val="24"/>
          <w:szCs w:val="24"/>
          <w:lang w:val="en-IN" w:eastAsia="en-IN"/>
        </w:rPr>
        <w:t>3 Lakhs</w:t>
      </w:r>
    </w:p>
    <w:p w:rsidR="00F97A38" w:rsidRPr="00E71156" w:rsidRDefault="00F97A38" w:rsidP="00F97A38">
      <w:pPr>
        <w:spacing w:after="0" w:line="240" w:lineRule="auto"/>
        <w:jc w:val="both"/>
        <w:rPr>
          <w:rFonts w:ascii="Times New Roman" w:eastAsia="SimSun" w:hAnsi="Times New Roman" w:cs="Times New Roman"/>
          <w:sz w:val="24"/>
          <w:szCs w:val="24"/>
          <w:lang w:val="en-IN" w:eastAsia="en-IN"/>
        </w:rPr>
      </w:pPr>
    </w:p>
    <w:p w:rsidR="00F97A38" w:rsidRPr="00E71156" w:rsidRDefault="00F97A38" w:rsidP="00F97A38">
      <w:pPr>
        <w:spacing w:after="0" w:line="240" w:lineRule="auto"/>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Inventories</w:t>
      </w:r>
    </w:p>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 xml:space="preserve">Table showing </w:t>
      </w:r>
      <w:r w:rsidR="00FD7E1F" w:rsidRPr="00E71156">
        <w:rPr>
          <w:rFonts w:ascii="Times New Roman" w:eastAsia="SimSun" w:hAnsi="Times New Roman" w:cs="Times New Roman"/>
          <w:sz w:val="24"/>
          <w:szCs w:val="24"/>
          <w:lang w:val="en-IN" w:eastAsia="en-IN"/>
        </w:rPr>
        <w:t xml:space="preserve">the details of inventory </w:t>
      </w:r>
      <w:r w:rsidRPr="00E71156">
        <w:rPr>
          <w:rFonts w:ascii="Times New Roman" w:eastAsia="SimSun" w:hAnsi="Times New Roman" w:cs="Times New Roman"/>
          <w:sz w:val="24"/>
          <w:szCs w:val="24"/>
          <w:lang w:val="en-IN" w:eastAsia="en-IN"/>
        </w:rPr>
        <w:t xml:space="preserve"> is </w:t>
      </w:r>
      <w:r w:rsidR="00FD7E1F" w:rsidRPr="00E71156">
        <w:rPr>
          <w:rFonts w:ascii="Times New Roman" w:eastAsia="SimSun" w:hAnsi="Times New Roman" w:cs="Times New Roman"/>
          <w:sz w:val="24"/>
          <w:szCs w:val="24"/>
          <w:lang w:val="en-IN" w:eastAsia="en-IN"/>
        </w:rPr>
        <w:t>given</w:t>
      </w:r>
      <w:r w:rsidRPr="00E71156">
        <w:rPr>
          <w:rFonts w:ascii="Times New Roman" w:eastAsia="SimSun" w:hAnsi="Times New Roman" w:cs="Times New Roman"/>
          <w:sz w:val="24"/>
          <w:szCs w:val="24"/>
          <w:lang w:val="en-IN" w:eastAsia="en-IN"/>
        </w:rPr>
        <w:t xml:space="preserve"> below</w:t>
      </w:r>
    </w:p>
    <w:tbl>
      <w:tblPr>
        <w:tblStyle w:val="TableGrid"/>
        <w:tblW w:w="0" w:type="auto"/>
        <w:tblLook w:val="04A0"/>
      </w:tblPr>
      <w:tblGrid>
        <w:gridCol w:w="959"/>
        <w:gridCol w:w="5596"/>
        <w:gridCol w:w="3278"/>
      </w:tblGrid>
      <w:tr w:rsidR="002538C3" w:rsidRPr="00E71156" w:rsidTr="008A5FFF">
        <w:tc>
          <w:tcPr>
            <w:tcW w:w="959" w:type="dxa"/>
          </w:tcPr>
          <w:p w:rsidR="002538C3" w:rsidRPr="00E71156" w:rsidRDefault="002538C3" w:rsidP="00F97A38">
            <w:pPr>
              <w:spacing w:after="0" w:line="240" w:lineRule="auto"/>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Sl No</w:t>
            </w:r>
          </w:p>
        </w:tc>
        <w:tc>
          <w:tcPr>
            <w:tcW w:w="5596" w:type="dxa"/>
          </w:tcPr>
          <w:p w:rsidR="002538C3" w:rsidRPr="00E71156" w:rsidRDefault="002538C3" w:rsidP="00F97A38">
            <w:pPr>
              <w:spacing w:after="0" w:line="240" w:lineRule="auto"/>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Particular</w:t>
            </w:r>
          </w:p>
        </w:tc>
        <w:tc>
          <w:tcPr>
            <w:tcW w:w="3278" w:type="dxa"/>
          </w:tcPr>
          <w:p w:rsidR="002538C3" w:rsidRPr="00E71156" w:rsidRDefault="002538C3" w:rsidP="002538C3">
            <w:pPr>
              <w:spacing w:after="0" w:line="240" w:lineRule="auto"/>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2022-23</w:t>
            </w:r>
          </w:p>
        </w:tc>
      </w:tr>
      <w:tr w:rsidR="002538C3" w:rsidRPr="00E71156" w:rsidTr="008A5FFF">
        <w:tc>
          <w:tcPr>
            <w:tcW w:w="959" w:type="dxa"/>
          </w:tcPr>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1</w:t>
            </w:r>
          </w:p>
        </w:tc>
        <w:tc>
          <w:tcPr>
            <w:tcW w:w="5596" w:type="dxa"/>
          </w:tcPr>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Opening Balance</w:t>
            </w:r>
          </w:p>
        </w:tc>
        <w:tc>
          <w:tcPr>
            <w:tcW w:w="3278" w:type="dxa"/>
          </w:tcPr>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63.58</w:t>
            </w:r>
          </w:p>
        </w:tc>
      </w:tr>
      <w:tr w:rsidR="002538C3" w:rsidRPr="00E71156" w:rsidTr="008A5FFF">
        <w:tc>
          <w:tcPr>
            <w:tcW w:w="959" w:type="dxa"/>
          </w:tcPr>
          <w:p w:rsidR="002538C3" w:rsidRPr="00E71156" w:rsidRDefault="002538C3" w:rsidP="00D311CF">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2</w:t>
            </w:r>
          </w:p>
        </w:tc>
        <w:tc>
          <w:tcPr>
            <w:tcW w:w="5596" w:type="dxa"/>
          </w:tcPr>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Inventory capitalised during the year</w:t>
            </w:r>
          </w:p>
        </w:tc>
        <w:tc>
          <w:tcPr>
            <w:tcW w:w="3278" w:type="dxa"/>
          </w:tcPr>
          <w:p w:rsidR="002538C3" w:rsidRPr="00E71156" w:rsidRDefault="00D311CF"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115.45</w:t>
            </w:r>
          </w:p>
        </w:tc>
      </w:tr>
      <w:tr w:rsidR="002538C3" w:rsidRPr="00E71156" w:rsidTr="008A5FFF">
        <w:tc>
          <w:tcPr>
            <w:tcW w:w="959" w:type="dxa"/>
          </w:tcPr>
          <w:p w:rsidR="002538C3" w:rsidRPr="00E71156" w:rsidRDefault="00D311CF"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3</w:t>
            </w:r>
          </w:p>
        </w:tc>
        <w:tc>
          <w:tcPr>
            <w:tcW w:w="5596" w:type="dxa"/>
          </w:tcPr>
          <w:p w:rsidR="002538C3" w:rsidRPr="00E71156" w:rsidRDefault="008A5FFF"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Inventory issued for repairs and Maintenance</w:t>
            </w:r>
          </w:p>
        </w:tc>
        <w:tc>
          <w:tcPr>
            <w:tcW w:w="3278" w:type="dxa"/>
          </w:tcPr>
          <w:p w:rsidR="002538C3" w:rsidRPr="00E71156" w:rsidRDefault="006C1581"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17.32</w:t>
            </w:r>
          </w:p>
        </w:tc>
      </w:tr>
      <w:tr w:rsidR="002538C3" w:rsidRPr="00E71156" w:rsidTr="008A5FFF">
        <w:tc>
          <w:tcPr>
            <w:tcW w:w="959" w:type="dxa"/>
          </w:tcPr>
          <w:p w:rsidR="002538C3" w:rsidRPr="00E71156" w:rsidRDefault="00D311CF"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4</w:t>
            </w:r>
          </w:p>
        </w:tc>
        <w:tc>
          <w:tcPr>
            <w:tcW w:w="5596" w:type="dxa"/>
          </w:tcPr>
          <w:p w:rsidR="002538C3" w:rsidRPr="00E71156" w:rsidRDefault="008A5FFF" w:rsidP="008A5FFF">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Consumption during the period</w:t>
            </w:r>
            <w:r w:rsidR="00D311CF" w:rsidRPr="00E71156">
              <w:rPr>
                <w:rFonts w:ascii="Times New Roman" w:eastAsia="SimSun" w:hAnsi="Times New Roman" w:cs="Times New Roman"/>
                <w:sz w:val="24"/>
                <w:szCs w:val="24"/>
                <w:lang w:val="en-IN" w:eastAsia="en-IN"/>
              </w:rPr>
              <w:t xml:space="preserve"> (2+3)</w:t>
            </w:r>
          </w:p>
        </w:tc>
        <w:tc>
          <w:tcPr>
            <w:tcW w:w="3278" w:type="dxa"/>
          </w:tcPr>
          <w:p w:rsidR="002538C3" w:rsidRPr="00E71156" w:rsidRDefault="00D311CF"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132.77</w:t>
            </w:r>
          </w:p>
        </w:tc>
      </w:tr>
      <w:tr w:rsidR="002538C3" w:rsidRPr="00E71156" w:rsidTr="008A5FFF">
        <w:tc>
          <w:tcPr>
            <w:tcW w:w="959" w:type="dxa"/>
          </w:tcPr>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5</w:t>
            </w:r>
          </w:p>
        </w:tc>
        <w:tc>
          <w:tcPr>
            <w:tcW w:w="5596" w:type="dxa"/>
          </w:tcPr>
          <w:p w:rsidR="002538C3" w:rsidRPr="00E71156" w:rsidRDefault="008A5FFF"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Purchase during the period</w:t>
            </w:r>
          </w:p>
        </w:tc>
        <w:tc>
          <w:tcPr>
            <w:tcW w:w="3278" w:type="dxa"/>
          </w:tcPr>
          <w:p w:rsidR="002538C3" w:rsidRPr="00E71156" w:rsidRDefault="00B67785"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118.47</w:t>
            </w:r>
          </w:p>
        </w:tc>
      </w:tr>
      <w:tr w:rsidR="002538C3" w:rsidRPr="00E71156" w:rsidTr="008A5FFF">
        <w:tc>
          <w:tcPr>
            <w:tcW w:w="959" w:type="dxa"/>
          </w:tcPr>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6</w:t>
            </w:r>
          </w:p>
        </w:tc>
        <w:tc>
          <w:tcPr>
            <w:tcW w:w="5596" w:type="dxa"/>
          </w:tcPr>
          <w:p w:rsidR="002538C3" w:rsidRPr="00E71156" w:rsidRDefault="008A5FFF"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Closing balance</w:t>
            </w:r>
            <w:r w:rsidR="00D311CF" w:rsidRPr="00E71156">
              <w:rPr>
                <w:rFonts w:ascii="Times New Roman" w:eastAsia="SimSun" w:hAnsi="Times New Roman" w:cs="Times New Roman"/>
                <w:sz w:val="24"/>
                <w:szCs w:val="24"/>
                <w:lang w:val="en-IN" w:eastAsia="en-IN"/>
              </w:rPr>
              <w:t xml:space="preserve"> (1+5-4)</w:t>
            </w:r>
            <w:r w:rsidR="002E3F7E" w:rsidRPr="00E71156">
              <w:rPr>
                <w:rFonts w:ascii="Times New Roman" w:eastAsia="SimSun" w:hAnsi="Times New Roman" w:cs="Times New Roman"/>
                <w:sz w:val="24"/>
                <w:szCs w:val="24"/>
                <w:lang w:val="en-IN" w:eastAsia="en-IN"/>
              </w:rPr>
              <w:t xml:space="preserve"> </w:t>
            </w:r>
          </w:p>
        </w:tc>
        <w:tc>
          <w:tcPr>
            <w:tcW w:w="3278" w:type="dxa"/>
          </w:tcPr>
          <w:p w:rsidR="002538C3" w:rsidRPr="00E71156" w:rsidRDefault="006C1581" w:rsidP="00F97A38">
            <w:pPr>
              <w:spacing w:after="0" w:line="24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49.28</w:t>
            </w:r>
          </w:p>
        </w:tc>
      </w:tr>
    </w:tbl>
    <w:p w:rsidR="002538C3" w:rsidRPr="00E71156" w:rsidRDefault="002538C3" w:rsidP="00F97A38">
      <w:pPr>
        <w:spacing w:after="0" w:line="240" w:lineRule="auto"/>
        <w:jc w:val="both"/>
        <w:rPr>
          <w:rFonts w:ascii="Times New Roman" w:eastAsia="SimSun" w:hAnsi="Times New Roman" w:cs="Times New Roman"/>
          <w:sz w:val="24"/>
          <w:szCs w:val="24"/>
          <w:lang w:val="en-IN" w:eastAsia="en-IN"/>
        </w:rPr>
      </w:pPr>
    </w:p>
    <w:p w:rsidR="002E3F7E" w:rsidRPr="00E71156" w:rsidRDefault="002E3F7E" w:rsidP="00F97A38">
      <w:pPr>
        <w:spacing w:after="0" w:line="240" w:lineRule="auto"/>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Sundry Debtors</w:t>
      </w:r>
    </w:p>
    <w:p w:rsidR="00F262A4" w:rsidRPr="00E71156" w:rsidRDefault="00F262A4" w:rsidP="00F97A38">
      <w:pPr>
        <w:spacing w:after="0" w:line="240" w:lineRule="auto"/>
        <w:jc w:val="both"/>
        <w:rPr>
          <w:rFonts w:ascii="Times New Roman" w:eastAsia="SimSun" w:hAnsi="Times New Roman" w:cs="Times New Roman"/>
          <w:b/>
          <w:sz w:val="24"/>
          <w:szCs w:val="24"/>
          <w:lang w:val="en-IN" w:eastAsia="en-IN"/>
        </w:rPr>
      </w:pPr>
    </w:p>
    <w:p w:rsidR="00F97A38" w:rsidRPr="00E71156" w:rsidRDefault="002E3F7E"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 xml:space="preserve">As per the </w:t>
      </w:r>
      <w:r w:rsidR="00005C36" w:rsidRPr="00E71156">
        <w:rPr>
          <w:rFonts w:ascii="Times New Roman" w:eastAsia="SimSun" w:hAnsi="Times New Roman" w:cs="Times New Roman"/>
          <w:sz w:val="24"/>
          <w:szCs w:val="24"/>
          <w:lang w:val="en-IN" w:eastAsia="en-IN"/>
        </w:rPr>
        <w:t xml:space="preserve">direction of the Hon’ble KSERC age wise analysis of the debtors was submitted along with the True Up petition for the FY 21-22 on which the order is awaited. In addition TCED has submitted a separate petition for implementing One Time settlement Scheme. </w:t>
      </w:r>
    </w:p>
    <w:p w:rsidR="00F97A38" w:rsidRDefault="00F97A38"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B01148" w:rsidRDefault="00B01148"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B01148" w:rsidRPr="00E71156" w:rsidRDefault="00B01148"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5D5B25" w:rsidRPr="00E71156" w:rsidRDefault="00064D72"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4.3</w:t>
      </w:r>
      <w:r w:rsidR="00EC1CF8" w:rsidRPr="00E71156">
        <w:rPr>
          <w:rFonts w:ascii="Times New Roman" w:eastAsia="SimSun" w:hAnsi="Times New Roman" w:cs="Times New Roman"/>
          <w:b/>
          <w:bCs/>
          <w:sz w:val="24"/>
          <w:szCs w:val="24"/>
          <w:lang w:val="en-IN" w:eastAsia="en-IN"/>
        </w:rPr>
        <w:t xml:space="preserve"> </w:t>
      </w:r>
      <w:r w:rsidR="005D5B25" w:rsidRPr="00E71156">
        <w:rPr>
          <w:rFonts w:ascii="Times New Roman" w:eastAsia="SimSun" w:hAnsi="Times New Roman" w:cs="Times New Roman"/>
          <w:b/>
          <w:bCs/>
          <w:sz w:val="24"/>
          <w:szCs w:val="24"/>
          <w:lang w:val="en-IN" w:eastAsia="en-IN"/>
        </w:rPr>
        <w:t>Depreciation:</w:t>
      </w:r>
    </w:p>
    <w:p w:rsidR="00DC1B26" w:rsidRPr="00E71156" w:rsidRDefault="00755CB0"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The a</w:t>
      </w:r>
      <w:r w:rsidR="00DC1B26" w:rsidRPr="00E71156">
        <w:rPr>
          <w:rFonts w:ascii="Times New Roman" w:eastAsia="SimSun" w:hAnsi="Times New Roman" w:cs="Times New Roman"/>
          <w:sz w:val="24"/>
          <w:szCs w:val="24"/>
          <w:lang w:val="en-IN" w:eastAsia="en-IN"/>
        </w:rPr>
        <w:t>ctual</w:t>
      </w:r>
      <w:r w:rsidRPr="00E71156">
        <w:rPr>
          <w:rFonts w:ascii="Times New Roman" w:eastAsia="SimSun" w:hAnsi="Times New Roman" w:cs="Times New Roman"/>
          <w:sz w:val="24"/>
          <w:szCs w:val="24"/>
          <w:lang w:val="en-IN" w:eastAsia="en-IN"/>
        </w:rPr>
        <w:t xml:space="preserve"> d</w:t>
      </w:r>
      <w:r w:rsidR="00DC1B26" w:rsidRPr="00E71156">
        <w:rPr>
          <w:rFonts w:ascii="Times New Roman" w:eastAsia="SimSun" w:hAnsi="Times New Roman" w:cs="Times New Roman"/>
          <w:sz w:val="24"/>
          <w:szCs w:val="24"/>
          <w:lang w:val="en-IN" w:eastAsia="en-IN"/>
        </w:rPr>
        <w:t xml:space="preserve">epreciation for the Distribution assets as per accounts for the year </w:t>
      </w:r>
      <w:r w:rsidR="00F97A38" w:rsidRPr="00E71156">
        <w:rPr>
          <w:rFonts w:ascii="Times New Roman" w:eastAsia="SimSun" w:hAnsi="Times New Roman" w:cs="Times New Roman"/>
          <w:sz w:val="24"/>
          <w:szCs w:val="24"/>
          <w:lang w:val="en-IN" w:eastAsia="en-IN"/>
        </w:rPr>
        <w:t>is</w:t>
      </w:r>
      <w:r w:rsidR="00DC1B26" w:rsidRPr="00E71156">
        <w:rPr>
          <w:rFonts w:ascii="Times New Roman" w:eastAsia="SimSun" w:hAnsi="Times New Roman" w:cs="Times New Roman"/>
          <w:sz w:val="24"/>
          <w:szCs w:val="24"/>
          <w:lang w:val="en-IN" w:eastAsia="en-IN"/>
        </w:rPr>
        <w:t xml:space="preserve"> Rs.</w:t>
      </w:r>
      <w:r w:rsidR="00341A23" w:rsidRPr="00E71156">
        <w:rPr>
          <w:rFonts w:ascii="Times New Roman" w:eastAsia="SimSun" w:hAnsi="Times New Roman" w:cs="Times New Roman"/>
          <w:sz w:val="24"/>
          <w:szCs w:val="24"/>
          <w:lang w:val="en-IN" w:eastAsia="en-IN"/>
        </w:rPr>
        <w:t>2</w:t>
      </w:r>
      <w:r w:rsidR="00F86DCB">
        <w:rPr>
          <w:rFonts w:ascii="Times New Roman" w:eastAsia="SimSun" w:hAnsi="Times New Roman" w:cs="Times New Roman"/>
          <w:sz w:val="24"/>
          <w:szCs w:val="24"/>
          <w:lang w:val="en-IN" w:eastAsia="en-IN"/>
        </w:rPr>
        <w:t>35.35</w:t>
      </w:r>
      <w:r w:rsidR="00255CD1" w:rsidRPr="00E71156">
        <w:rPr>
          <w:rFonts w:ascii="Times New Roman" w:eastAsia="SimSun" w:hAnsi="Times New Roman" w:cs="Times New Roman"/>
          <w:sz w:val="24"/>
          <w:szCs w:val="24"/>
          <w:lang w:val="en-IN" w:eastAsia="en-IN"/>
        </w:rPr>
        <w:t>lakhs.</w:t>
      </w:r>
    </w:p>
    <w:p w:rsidR="00DC1B26" w:rsidRPr="00E71156" w:rsidRDefault="00255CD1"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bCs/>
          <w:sz w:val="24"/>
          <w:szCs w:val="24"/>
          <w:lang w:val="en-IN" w:eastAsia="en-IN"/>
        </w:rPr>
        <w:t xml:space="preserve">Depreciation </w:t>
      </w:r>
      <w:r w:rsidR="00073ECC" w:rsidRPr="00E71156">
        <w:rPr>
          <w:rFonts w:ascii="Times New Roman" w:eastAsia="SimSun" w:hAnsi="Times New Roman" w:cs="Times New Roman"/>
          <w:bCs/>
          <w:sz w:val="24"/>
          <w:szCs w:val="24"/>
          <w:lang w:val="en-IN" w:eastAsia="en-IN"/>
        </w:rPr>
        <w:t xml:space="preserve">is </w:t>
      </w:r>
      <w:r w:rsidRPr="00E71156">
        <w:rPr>
          <w:rFonts w:ascii="Times New Roman" w:eastAsia="SimSun" w:hAnsi="Times New Roman" w:cs="Times New Roman"/>
          <w:bCs/>
          <w:sz w:val="24"/>
          <w:szCs w:val="24"/>
          <w:lang w:val="en-IN" w:eastAsia="en-IN"/>
        </w:rPr>
        <w:t xml:space="preserve">calculated on the basis of </w:t>
      </w:r>
      <w:r w:rsidRPr="00E71156">
        <w:rPr>
          <w:rFonts w:ascii="Times New Roman" w:eastAsia="SimSun" w:hAnsi="Times New Roman" w:cs="Times New Roman"/>
          <w:sz w:val="24"/>
          <w:szCs w:val="24"/>
          <w:lang w:val="en-IN" w:eastAsia="en-IN"/>
        </w:rPr>
        <w:t xml:space="preserve">KSERC (Terms and conditions for Determination of Tariff) 2021 dated 16.11.2021. </w:t>
      </w:r>
      <w:r w:rsidR="00755CB0" w:rsidRPr="00E71156">
        <w:rPr>
          <w:rFonts w:ascii="Times New Roman" w:eastAsia="SimSun" w:hAnsi="Times New Roman" w:cs="Times New Roman"/>
          <w:sz w:val="24"/>
          <w:szCs w:val="24"/>
          <w:lang w:val="en-IN" w:eastAsia="en-IN"/>
        </w:rPr>
        <w:t>TCED</w:t>
      </w:r>
      <w:r w:rsidR="00C50977">
        <w:rPr>
          <w:rFonts w:ascii="Times New Roman" w:eastAsia="SimSun" w:hAnsi="Times New Roman" w:cs="Times New Roman"/>
          <w:sz w:val="24"/>
          <w:szCs w:val="24"/>
          <w:lang w:val="en-IN" w:eastAsia="en-IN"/>
        </w:rPr>
        <w:t xml:space="preserve"> has taken into account Rs. 13.5</w:t>
      </w:r>
      <w:r w:rsidR="00755CB0" w:rsidRPr="00E71156">
        <w:rPr>
          <w:rFonts w:ascii="Times New Roman" w:eastAsia="SimSun" w:hAnsi="Times New Roman" w:cs="Times New Roman"/>
          <w:sz w:val="24"/>
          <w:szCs w:val="24"/>
          <w:lang w:val="en-IN" w:eastAsia="en-IN"/>
        </w:rPr>
        <w:t>3lakhs of consumer contributed assets and the reversal of its depreciation</w:t>
      </w:r>
      <w:r w:rsidR="00884292" w:rsidRPr="00E71156">
        <w:rPr>
          <w:rFonts w:ascii="Times New Roman" w:eastAsia="SimSun" w:hAnsi="Times New Roman" w:cs="Times New Roman"/>
          <w:sz w:val="24"/>
          <w:szCs w:val="24"/>
          <w:lang w:val="en-IN" w:eastAsia="en-IN"/>
        </w:rPr>
        <w:t xml:space="preserve"> </w:t>
      </w:r>
      <w:r w:rsidR="00755CB0" w:rsidRPr="00E71156">
        <w:rPr>
          <w:rFonts w:ascii="Times New Roman" w:eastAsia="SimSun" w:hAnsi="Times New Roman" w:cs="Times New Roman"/>
          <w:sz w:val="24"/>
          <w:szCs w:val="24"/>
          <w:lang w:val="en-IN" w:eastAsia="en-IN"/>
        </w:rPr>
        <w:t xml:space="preserve">(Rs. </w:t>
      </w:r>
      <w:r w:rsidR="00341A23" w:rsidRPr="00E71156">
        <w:rPr>
          <w:rFonts w:ascii="Times New Roman" w:eastAsia="SimSun" w:hAnsi="Times New Roman" w:cs="Times New Roman"/>
          <w:sz w:val="24"/>
          <w:szCs w:val="24"/>
          <w:lang w:val="en-IN" w:eastAsia="en-IN"/>
        </w:rPr>
        <w:t>3.47</w:t>
      </w:r>
      <w:r w:rsidR="00755CB0" w:rsidRPr="00E71156">
        <w:rPr>
          <w:rFonts w:ascii="Times New Roman" w:eastAsia="SimSun" w:hAnsi="Times New Roman" w:cs="Times New Roman"/>
          <w:sz w:val="24"/>
          <w:szCs w:val="24"/>
          <w:lang w:val="en-IN" w:eastAsia="en-IN"/>
        </w:rPr>
        <w:t>lakhs) as e</w:t>
      </w:r>
      <w:r w:rsidR="00EF313C" w:rsidRPr="00E71156">
        <w:rPr>
          <w:rFonts w:ascii="Times New Roman" w:eastAsia="SimSun" w:hAnsi="Times New Roman" w:cs="Times New Roman"/>
          <w:sz w:val="24"/>
          <w:szCs w:val="24"/>
          <w:lang w:val="en-IN" w:eastAsia="en-IN"/>
        </w:rPr>
        <w:t>xplained in Form D.3.5</w:t>
      </w:r>
      <w:r w:rsidR="00755CB0" w:rsidRPr="00E71156">
        <w:rPr>
          <w:rFonts w:ascii="Times New Roman" w:eastAsia="SimSun" w:hAnsi="Times New Roman" w:cs="Times New Roman"/>
          <w:sz w:val="24"/>
          <w:szCs w:val="24"/>
          <w:lang w:val="en-IN" w:eastAsia="en-IN"/>
        </w:rPr>
        <w:t xml:space="preserve"> while</w:t>
      </w:r>
      <w:r w:rsidR="00EF313C" w:rsidRPr="00E71156">
        <w:rPr>
          <w:rFonts w:ascii="Times New Roman" w:eastAsia="SimSun" w:hAnsi="Times New Roman" w:cs="Times New Roman"/>
          <w:sz w:val="24"/>
          <w:szCs w:val="24"/>
          <w:lang w:val="en-IN" w:eastAsia="en-IN"/>
        </w:rPr>
        <w:t xml:space="preserve"> arriving at the final depreciation.</w:t>
      </w:r>
      <w:r w:rsidR="00755CB0" w:rsidRPr="00E71156">
        <w:rPr>
          <w:rFonts w:ascii="Times New Roman" w:eastAsia="SimSun" w:hAnsi="Times New Roman" w:cs="Times New Roman"/>
          <w:sz w:val="24"/>
          <w:szCs w:val="24"/>
          <w:lang w:val="en-IN" w:eastAsia="en-IN"/>
        </w:rPr>
        <w:t xml:space="preserve"> </w:t>
      </w:r>
      <w:r w:rsidRPr="00E71156">
        <w:rPr>
          <w:rFonts w:ascii="Times New Roman" w:eastAsia="SimSun" w:hAnsi="Times New Roman" w:cs="Times New Roman"/>
          <w:sz w:val="24"/>
          <w:szCs w:val="24"/>
          <w:lang w:val="en-IN" w:eastAsia="en-IN"/>
        </w:rPr>
        <w:t>The TCED requests the Hon’ble Commission to approve the depreciation for the year as Rs.</w:t>
      </w:r>
      <w:r w:rsidR="00341A23" w:rsidRPr="00F86DCB">
        <w:rPr>
          <w:rFonts w:ascii="Times New Roman" w:eastAsia="SimSun" w:hAnsi="Times New Roman" w:cs="Times New Roman"/>
          <w:sz w:val="24"/>
          <w:szCs w:val="24"/>
          <w:lang w:val="en-IN" w:eastAsia="en-IN"/>
        </w:rPr>
        <w:t>2</w:t>
      </w:r>
      <w:r w:rsidR="00F86DCB" w:rsidRPr="00F86DCB">
        <w:rPr>
          <w:rFonts w:ascii="Times New Roman" w:eastAsia="SimSun" w:hAnsi="Times New Roman" w:cs="Times New Roman"/>
          <w:sz w:val="24"/>
          <w:szCs w:val="24"/>
          <w:lang w:val="en-IN" w:eastAsia="en-IN"/>
        </w:rPr>
        <w:t>31.8</w:t>
      </w:r>
      <w:r w:rsidR="00341A23" w:rsidRPr="00F86DCB">
        <w:rPr>
          <w:rFonts w:ascii="Times New Roman" w:eastAsia="SimSun" w:hAnsi="Times New Roman" w:cs="Times New Roman"/>
          <w:sz w:val="24"/>
          <w:szCs w:val="24"/>
          <w:lang w:val="en-IN" w:eastAsia="en-IN"/>
        </w:rPr>
        <w:t>8</w:t>
      </w:r>
      <w:r w:rsidRPr="00F86DCB">
        <w:rPr>
          <w:rFonts w:ascii="Times New Roman" w:eastAsia="SimSun" w:hAnsi="Times New Roman" w:cs="Times New Roman"/>
          <w:sz w:val="24"/>
          <w:szCs w:val="24"/>
          <w:lang w:val="en-IN" w:eastAsia="en-IN"/>
        </w:rPr>
        <w:t>lakhs</w:t>
      </w:r>
      <w:r w:rsidRPr="00E71156">
        <w:rPr>
          <w:rFonts w:ascii="Times New Roman" w:eastAsia="SimSun" w:hAnsi="Times New Roman" w:cs="Times New Roman"/>
          <w:sz w:val="24"/>
          <w:szCs w:val="24"/>
          <w:lang w:val="en-IN" w:eastAsia="en-IN"/>
        </w:rPr>
        <w:t>.</w:t>
      </w:r>
    </w:p>
    <w:p w:rsidR="001B38C8" w:rsidRPr="00E71156" w:rsidRDefault="001B38C8"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p>
    <w:p w:rsidR="00DC1B26" w:rsidRPr="00E71156" w:rsidRDefault="00064D72"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4.4</w:t>
      </w:r>
      <w:r w:rsidR="00EC1CF8" w:rsidRPr="00E71156">
        <w:rPr>
          <w:rFonts w:ascii="Times New Roman" w:eastAsia="SimSun" w:hAnsi="Times New Roman" w:cs="Times New Roman"/>
          <w:b/>
          <w:bCs/>
          <w:sz w:val="24"/>
          <w:szCs w:val="24"/>
          <w:lang w:val="en-IN" w:eastAsia="en-IN"/>
        </w:rPr>
        <w:t xml:space="preserve"> </w:t>
      </w:r>
      <w:r w:rsidR="00DC1B26" w:rsidRPr="00E71156">
        <w:rPr>
          <w:rFonts w:ascii="Times New Roman" w:eastAsia="SimSun" w:hAnsi="Times New Roman" w:cs="Times New Roman"/>
          <w:b/>
          <w:bCs/>
          <w:sz w:val="24"/>
          <w:szCs w:val="24"/>
          <w:lang w:val="en-IN" w:eastAsia="en-IN"/>
        </w:rPr>
        <w:t>Interest and Finance charges</w:t>
      </w:r>
    </w:p>
    <w:p w:rsidR="00741BA9" w:rsidRPr="00E71156" w:rsidRDefault="00583F67" w:rsidP="00E70FB6">
      <w:pPr>
        <w:autoSpaceDE w:val="0"/>
        <w:autoSpaceDN w:val="0"/>
        <w:adjustRightInd w:val="0"/>
        <w:spacing w:after="0" w:line="360" w:lineRule="auto"/>
        <w:ind w:firstLine="1872"/>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T</w:t>
      </w:r>
      <w:r w:rsidR="00DC1B26" w:rsidRPr="00E71156">
        <w:rPr>
          <w:rFonts w:ascii="Times New Roman" w:eastAsia="SimSun" w:hAnsi="Times New Roman" w:cs="Times New Roman"/>
          <w:sz w:val="24"/>
          <w:szCs w:val="24"/>
          <w:lang w:val="en-IN" w:eastAsia="en-IN"/>
        </w:rPr>
        <w:t>he i</w:t>
      </w:r>
      <w:r w:rsidRPr="00E71156">
        <w:rPr>
          <w:rFonts w:ascii="Times New Roman" w:eastAsia="SimSun" w:hAnsi="Times New Roman" w:cs="Times New Roman"/>
          <w:sz w:val="24"/>
          <w:szCs w:val="24"/>
          <w:lang w:val="en-IN" w:eastAsia="en-IN"/>
        </w:rPr>
        <w:t>nterest and finance charges are</w:t>
      </w:r>
      <w:r w:rsidR="00DC1B26" w:rsidRPr="00E71156">
        <w:rPr>
          <w:rFonts w:ascii="Times New Roman" w:eastAsia="SimSun" w:hAnsi="Times New Roman" w:cs="Times New Roman"/>
          <w:sz w:val="24"/>
          <w:szCs w:val="24"/>
          <w:lang w:val="en-IN" w:eastAsia="en-IN"/>
        </w:rPr>
        <w:t xml:space="preserve"> Rs.</w:t>
      </w:r>
      <w:r w:rsidR="00C50977">
        <w:rPr>
          <w:rFonts w:ascii="Times New Roman" w:eastAsia="SimSun" w:hAnsi="Times New Roman" w:cs="Times New Roman"/>
          <w:sz w:val="24"/>
          <w:szCs w:val="24"/>
          <w:lang w:val="en-IN" w:eastAsia="en-IN"/>
        </w:rPr>
        <w:t xml:space="preserve"> 174.</w:t>
      </w:r>
      <w:r w:rsidR="001B38C8" w:rsidRPr="00E71156">
        <w:rPr>
          <w:rFonts w:ascii="Times New Roman" w:eastAsia="SimSun" w:hAnsi="Times New Roman" w:cs="Times New Roman"/>
          <w:sz w:val="24"/>
          <w:szCs w:val="24"/>
          <w:lang w:val="en-IN" w:eastAsia="en-IN"/>
        </w:rPr>
        <w:t>2</w:t>
      </w:r>
      <w:r w:rsidR="00C50977">
        <w:rPr>
          <w:rFonts w:ascii="Times New Roman" w:eastAsia="SimSun" w:hAnsi="Times New Roman" w:cs="Times New Roman"/>
          <w:sz w:val="24"/>
          <w:szCs w:val="24"/>
          <w:lang w:val="en-IN" w:eastAsia="en-IN"/>
        </w:rPr>
        <w:t>1</w:t>
      </w:r>
      <w:r w:rsidR="000D77E4" w:rsidRPr="00E71156">
        <w:rPr>
          <w:rFonts w:ascii="Times New Roman" w:eastAsia="SimSun" w:hAnsi="Times New Roman" w:cs="Times New Roman"/>
          <w:sz w:val="24"/>
          <w:szCs w:val="24"/>
          <w:lang w:val="en-IN" w:eastAsia="en-IN"/>
        </w:rPr>
        <w:t xml:space="preserve">lakhs. The </w:t>
      </w:r>
      <w:r w:rsidR="00E70FB6" w:rsidRPr="00E71156">
        <w:rPr>
          <w:rFonts w:ascii="Times New Roman" w:eastAsia="SimSun" w:hAnsi="Times New Roman" w:cs="Times New Roman"/>
          <w:sz w:val="24"/>
          <w:szCs w:val="24"/>
          <w:lang w:val="en-IN" w:eastAsia="en-IN"/>
        </w:rPr>
        <w:t>inte</w:t>
      </w:r>
      <w:r w:rsidR="007A195A" w:rsidRPr="00E71156">
        <w:rPr>
          <w:rFonts w:ascii="Times New Roman" w:eastAsia="SimSun" w:hAnsi="Times New Roman" w:cs="Times New Roman"/>
          <w:sz w:val="24"/>
          <w:szCs w:val="24"/>
          <w:lang w:val="en-IN" w:eastAsia="en-IN"/>
        </w:rPr>
        <w:t>r</w:t>
      </w:r>
      <w:r w:rsidR="005A5D43" w:rsidRPr="00E71156">
        <w:rPr>
          <w:rFonts w:ascii="Times New Roman" w:eastAsia="SimSun" w:hAnsi="Times New Roman" w:cs="Times New Roman"/>
          <w:sz w:val="24"/>
          <w:szCs w:val="24"/>
          <w:lang w:val="en-IN" w:eastAsia="en-IN"/>
        </w:rPr>
        <w:t>est is calculated on Security Deposit from consumers</w:t>
      </w:r>
      <w:r w:rsidR="00DA45D6">
        <w:rPr>
          <w:rFonts w:ascii="Times New Roman" w:eastAsia="SimSun" w:hAnsi="Times New Roman" w:cs="Times New Roman"/>
          <w:sz w:val="24"/>
          <w:szCs w:val="24"/>
          <w:lang w:val="en-IN" w:eastAsia="en-IN"/>
        </w:rPr>
        <w:t xml:space="preserve"> on accrual basis </w:t>
      </w:r>
      <w:r w:rsidR="005A5D43" w:rsidRPr="00E71156">
        <w:rPr>
          <w:rFonts w:ascii="Times New Roman" w:eastAsia="SimSun" w:hAnsi="Times New Roman" w:cs="Times New Roman"/>
          <w:sz w:val="24"/>
          <w:szCs w:val="24"/>
          <w:lang w:val="en-IN" w:eastAsia="en-IN"/>
        </w:rPr>
        <w:t>at the rate of 4.25% p.a.</w:t>
      </w:r>
      <w:r w:rsidR="00DA45D6">
        <w:rPr>
          <w:rFonts w:ascii="Times New Roman" w:eastAsia="SimSun" w:hAnsi="Times New Roman" w:cs="Times New Roman"/>
          <w:sz w:val="24"/>
          <w:szCs w:val="24"/>
          <w:lang w:val="en-IN" w:eastAsia="en-IN"/>
        </w:rPr>
        <w:t xml:space="preserve"> </w:t>
      </w:r>
      <w:r w:rsidR="005A5D43" w:rsidRPr="00E71156">
        <w:rPr>
          <w:rFonts w:ascii="Times New Roman" w:eastAsia="SimSun" w:hAnsi="Times New Roman" w:cs="Times New Roman"/>
          <w:sz w:val="24"/>
          <w:szCs w:val="24"/>
          <w:lang w:val="en-IN" w:eastAsia="en-IN"/>
        </w:rPr>
        <w:t xml:space="preserve"> </w:t>
      </w:r>
      <w:r w:rsidR="000D77E4" w:rsidRPr="00E71156">
        <w:rPr>
          <w:rFonts w:ascii="Times New Roman" w:eastAsia="SimSun" w:hAnsi="Times New Roman" w:cs="Times New Roman"/>
          <w:sz w:val="24"/>
          <w:szCs w:val="24"/>
          <w:lang w:val="en-IN" w:eastAsia="en-IN"/>
        </w:rPr>
        <w:t>The TCED</w:t>
      </w:r>
      <w:r w:rsidR="00DC1B26" w:rsidRPr="00E71156">
        <w:rPr>
          <w:rFonts w:ascii="Times New Roman" w:eastAsia="SimSun" w:hAnsi="Times New Roman" w:cs="Times New Roman"/>
          <w:sz w:val="24"/>
          <w:szCs w:val="24"/>
          <w:lang w:val="en-IN" w:eastAsia="en-IN"/>
        </w:rPr>
        <w:t xml:space="preserve"> </w:t>
      </w:r>
      <w:r w:rsidR="000D77E4" w:rsidRPr="00E71156">
        <w:rPr>
          <w:rFonts w:ascii="Times New Roman" w:eastAsia="SimSun" w:hAnsi="Times New Roman" w:cs="Times New Roman"/>
          <w:sz w:val="24"/>
          <w:szCs w:val="24"/>
          <w:lang w:val="en-IN" w:eastAsia="en-IN"/>
        </w:rPr>
        <w:t>requests the Hon’ble Commission to approve the interest and finance charges for 2022-23 at Rs.</w:t>
      </w:r>
      <w:r w:rsidR="00C50977">
        <w:rPr>
          <w:rFonts w:ascii="Times New Roman" w:eastAsia="SimSun" w:hAnsi="Times New Roman" w:cs="Times New Roman"/>
          <w:sz w:val="24"/>
          <w:szCs w:val="24"/>
          <w:lang w:val="en-IN" w:eastAsia="en-IN"/>
        </w:rPr>
        <w:t xml:space="preserve"> 174.</w:t>
      </w:r>
      <w:r w:rsidR="002B73B5" w:rsidRPr="00E71156">
        <w:rPr>
          <w:rFonts w:ascii="Times New Roman" w:eastAsia="SimSun" w:hAnsi="Times New Roman" w:cs="Times New Roman"/>
          <w:sz w:val="24"/>
          <w:szCs w:val="24"/>
          <w:lang w:val="en-IN" w:eastAsia="en-IN"/>
        </w:rPr>
        <w:t>2</w:t>
      </w:r>
      <w:r w:rsidR="00C50977">
        <w:rPr>
          <w:rFonts w:ascii="Times New Roman" w:eastAsia="SimSun" w:hAnsi="Times New Roman" w:cs="Times New Roman"/>
          <w:sz w:val="24"/>
          <w:szCs w:val="24"/>
          <w:lang w:val="en-IN" w:eastAsia="en-IN"/>
        </w:rPr>
        <w:t>1</w:t>
      </w:r>
      <w:r w:rsidR="000D77E4" w:rsidRPr="00E71156">
        <w:rPr>
          <w:rFonts w:ascii="Times New Roman" w:eastAsia="SimSun" w:hAnsi="Times New Roman" w:cs="Times New Roman"/>
          <w:sz w:val="24"/>
          <w:szCs w:val="24"/>
          <w:lang w:val="en-IN" w:eastAsia="en-IN"/>
        </w:rPr>
        <w:t>lakhs</w:t>
      </w:r>
      <w:r w:rsidRPr="00E71156">
        <w:rPr>
          <w:rFonts w:ascii="Times New Roman" w:eastAsia="SimSun" w:hAnsi="Times New Roman" w:cs="Times New Roman"/>
          <w:sz w:val="24"/>
          <w:szCs w:val="24"/>
          <w:lang w:val="en-IN" w:eastAsia="en-IN"/>
        </w:rPr>
        <w:t>.</w:t>
      </w:r>
    </w:p>
    <w:p w:rsidR="00741BA9" w:rsidRPr="00E71156" w:rsidRDefault="00741BA9"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p>
    <w:p w:rsidR="00F262A4" w:rsidRPr="00E71156" w:rsidRDefault="00F262A4"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p>
    <w:p w:rsidR="00F262A4" w:rsidRPr="00E71156" w:rsidRDefault="00F262A4"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p>
    <w:p w:rsidR="006B08AC" w:rsidRPr="00E71156" w:rsidRDefault="006B08AC"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741BA9" w:rsidRPr="00E71156" w:rsidRDefault="00064D72"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4.5</w:t>
      </w:r>
      <w:r w:rsidR="00EC1CF8" w:rsidRPr="00E71156">
        <w:rPr>
          <w:rFonts w:ascii="Times New Roman" w:eastAsia="SimSun" w:hAnsi="Times New Roman" w:cs="Times New Roman"/>
          <w:b/>
          <w:bCs/>
          <w:sz w:val="24"/>
          <w:szCs w:val="24"/>
          <w:lang w:val="en-IN" w:eastAsia="en-IN"/>
        </w:rPr>
        <w:t xml:space="preserve"> </w:t>
      </w:r>
      <w:r w:rsidR="005028D7" w:rsidRPr="00E71156">
        <w:rPr>
          <w:rFonts w:ascii="Times New Roman" w:eastAsia="SimSun" w:hAnsi="Times New Roman" w:cs="Times New Roman"/>
          <w:b/>
          <w:bCs/>
          <w:sz w:val="24"/>
          <w:szCs w:val="24"/>
          <w:lang w:val="en-IN" w:eastAsia="en-IN"/>
        </w:rPr>
        <w:t>Return on Equity:</w:t>
      </w:r>
    </w:p>
    <w:p w:rsidR="005028D7" w:rsidRPr="00E71156" w:rsidRDefault="00A560A4" w:rsidP="00E70FB6">
      <w:pPr>
        <w:autoSpaceDE w:val="0"/>
        <w:autoSpaceDN w:val="0"/>
        <w:adjustRightInd w:val="0"/>
        <w:spacing w:after="0" w:line="360" w:lineRule="auto"/>
        <w:ind w:firstLine="360"/>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 xml:space="preserve">The ROE </w:t>
      </w:r>
      <w:r w:rsidR="00085A4E" w:rsidRPr="00E71156">
        <w:rPr>
          <w:rFonts w:ascii="Times New Roman" w:eastAsia="SimSun" w:hAnsi="Times New Roman" w:cs="Times New Roman"/>
          <w:sz w:val="24"/>
          <w:szCs w:val="24"/>
          <w:lang w:val="en-IN" w:eastAsia="en-IN"/>
        </w:rPr>
        <w:t xml:space="preserve">Rs. 148.91lakhs </w:t>
      </w:r>
      <w:r w:rsidRPr="00E71156">
        <w:rPr>
          <w:rFonts w:ascii="Times New Roman" w:eastAsia="SimSun" w:hAnsi="Times New Roman" w:cs="Times New Roman"/>
          <w:sz w:val="24"/>
          <w:szCs w:val="24"/>
          <w:lang w:val="en-IN" w:eastAsia="en-IN"/>
        </w:rPr>
        <w:t>is calculated as per KSERC (Terms and conditions for Determination of Tariff) 2021 dated 16.11.2021</w:t>
      </w:r>
      <w:r w:rsidR="000D77E4" w:rsidRPr="00E71156">
        <w:rPr>
          <w:rFonts w:ascii="Times New Roman" w:eastAsia="SimSun" w:hAnsi="Times New Roman" w:cs="Times New Roman"/>
          <w:sz w:val="24"/>
          <w:szCs w:val="24"/>
          <w:lang w:val="en-IN" w:eastAsia="en-IN"/>
        </w:rPr>
        <w:t>. ROE shall be allowed at the rate of 5.5% of Net Fixed Assets after reducing consumer contribution at the beginning of the financial year.</w:t>
      </w:r>
      <w:r w:rsidR="00085A4E" w:rsidRPr="00E71156">
        <w:rPr>
          <w:rFonts w:ascii="Times New Roman" w:eastAsia="SimSun" w:hAnsi="Times New Roman" w:cs="Times New Roman"/>
          <w:sz w:val="24"/>
          <w:szCs w:val="24"/>
          <w:lang w:val="en-IN" w:eastAsia="en-IN"/>
        </w:rPr>
        <w:t xml:space="preserve"> The net fixed asset at the beginning of the financial year is Rs. 33.98 Cr, after deducting the value of consumer contributed assets Rs. 6.91 Cr, the value will come to Rs. 27.07 Cr. ROE is the 5.5% of Rs.27.07 Cr and is worked out as Rs. 1.49 Cr.</w:t>
      </w:r>
    </w:p>
    <w:p w:rsidR="00064D72" w:rsidRPr="00DA45D6" w:rsidRDefault="00064D72" w:rsidP="00E71156">
      <w:pPr>
        <w:pStyle w:val="ListParagraph"/>
        <w:numPr>
          <w:ilvl w:val="1"/>
          <w:numId w:val="13"/>
        </w:numPr>
        <w:spacing w:line="360" w:lineRule="auto"/>
        <w:jc w:val="both"/>
        <w:rPr>
          <w:rFonts w:ascii="Times New Roman" w:hAnsi="Times New Roman" w:cs="Times New Roman"/>
          <w:b/>
          <w:sz w:val="24"/>
          <w:szCs w:val="24"/>
        </w:rPr>
      </w:pPr>
      <w:r w:rsidRPr="00DA45D6">
        <w:rPr>
          <w:rFonts w:ascii="Times New Roman" w:hAnsi="Times New Roman" w:cs="Times New Roman"/>
          <w:b/>
          <w:sz w:val="24"/>
          <w:szCs w:val="24"/>
        </w:rPr>
        <w:t>Loans &amp; Advances</w:t>
      </w:r>
    </w:p>
    <w:p w:rsidR="00A560A4" w:rsidRPr="00E71156" w:rsidRDefault="00064D72" w:rsidP="00F262A4">
      <w:pPr>
        <w:spacing w:line="360" w:lineRule="auto"/>
        <w:ind w:left="360" w:firstLine="360"/>
        <w:jc w:val="both"/>
        <w:rPr>
          <w:rFonts w:ascii="Times New Roman" w:hAnsi="Times New Roman" w:cs="Times New Roman"/>
          <w:sz w:val="24"/>
          <w:szCs w:val="24"/>
        </w:rPr>
      </w:pPr>
      <w:r w:rsidRPr="00E71156">
        <w:rPr>
          <w:rFonts w:ascii="Times New Roman" w:hAnsi="Times New Roman" w:cs="Times New Roman"/>
          <w:sz w:val="24"/>
          <w:szCs w:val="24"/>
        </w:rPr>
        <w:t>Loans and advances comprises of Security Deposits given to KSEB and Corporation Current Account. All the transactions for the year between owner Thrissur Corporation and TCED are accounted under Corporation current account. The net balance in Corporation cur</w:t>
      </w:r>
      <w:r w:rsidR="00C14984" w:rsidRPr="00E71156">
        <w:rPr>
          <w:rFonts w:ascii="Times New Roman" w:hAnsi="Times New Roman" w:cs="Times New Roman"/>
          <w:sz w:val="24"/>
          <w:szCs w:val="24"/>
        </w:rPr>
        <w:t>rent account is shown in either</w:t>
      </w:r>
      <w:r w:rsidR="002538C3" w:rsidRPr="00E71156">
        <w:rPr>
          <w:rFonts w:ascii="Times New Roman" w:hAnsi="Times New Roman" w:cs="Times New Roman"/>
          <w:sz w:val="24"/>
          <w:szCs w:val="24"/>
        </w:rPr>
        <w:t xml:space="preserve"> </w:t>
      </w:r>
      <w:r w:rsidRPr="00E71156">
        <w:rPr>
          <w:rFonts w:ascii="Times New Roman" w:hAnsi="Times New Roman" w:cs="Times New Roman"/>
          <w:sz w:val="24"/>
          <w:szCs w:val="24"/>
        </w:rPr>
        <w:t xml:space="preserve">Loans and advances (in case of amount is received from Corporation) or under current liabilities (in case amount is payable to Corporation).  </w:t>
      </w:r>
    </w:p>
    <w:p w:rsidR="00064D72" w:rsidRPr="00E71156" w:rsidRDefault="00064D72" w:rsidP="00E71156">
      <w:pPr>
        <w:pStyle w:val="ListParagraph"/>
        <w:numPr>
          <w:ilvl w:val="0"/>
          <w:numId w:val="13"/>
        </w:num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sz w:val="24"/>
          <w:szCs w:val="24"/>
          <w:lang w:val="en-IN" w:eastAsia="en-IN"/>
        </w:rPr>
        <w:t xml:space="preserve">Revenue </w:t>
      </w:r>
    </w:p>
    <w:p w:rsidR="00607CCC" w:rsidRPr="00E71156" w:rsidRDefault="00064D72" w:rsidP="00064D72">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5</w:t>
      </w:r>
      <w:r w:rsidR="00B875CE" w:rsidRPr="00E71156">
        <w:rPr>
          <w:rFonts w:ascii="Times New Roman" w:eastAsia="SimSun" w:hAnsi="Times New Roman" w:cs="Times New Roman"/>
          <w:b/>
          <w:bCs/>
          <w:sz w:val="24"/>
          <w:szCs w:val="24"/>
          <w:lang w:val="en-IN" w:eastAsia="en-IN"/>
        </w:rPr>
        <w:t xml:space="preserve">.1 </w:t>
      </w:r>
      <w:r w:rsidR="00607CCC" w:rsidRPr="00E71156">
        <w:rPr>
          <w:rFonts w:ascii="Times New Roman" w:eastAsia="SimSun" w:hAnsi="Times New Roman" w:cs="Times New Roman"/>
          <w:b/>
          <w:bCs/>
          <w:sz w:val="24"/>
          <w:szCs w:val="24"/>
          <w:lang w:val="en-IN" w:eastAsia="en-IN"/>
        </w:rPr>
        <w:t xml:space="preserve">Non-tariff income </w:t>
      </w:r>
    </w:p>
    <w:p w:rsidR="00607CCC" w:rsidRPr="00E71156" w:rsidRDefault="00607CCC"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sz w:val="24"/>
          <w:szCs w:val="24"/>
          <w:lang w:val="en-IN" w:eastAsia="en-IN"/>
        </w:rPr>
        <w:t xml:space="preserve"> </w:t>
      </w:r>
      <w:r w:rsidR="003E322D">
        <w:rPr>
          <w:rFonts w:ascii="Times New Roman" w:eastAsia="SimSun" w:hAnsi="Times New Roman" w:cs="Times New Roman"/>
          <w:sz w:val="24"/>
          <w:szCs w:val="24"/>
          <w:lang w:val="en-IN" w:eastAsia="en-IN"/>
        </w:rPr>
        <w:tab/>
      </w:r>
      <w:r w:rsidRPr="00E71156">
        <w:rPr>
          <w:rFonts w:ascii="Times New Roman" w:eastAsia="SimSun" w:hAnsi="Times New Roman" w:cs="Times New Roman"/>
          <w:sz w:val="24"/>
          <w:szCs w:val="24"/>
          <w:lang w:val="en-IN" w:eastAsia="en-IN"/>
        </w:rPr>
        <w:t xml:space="preserve">As per accounts, the share of other income of TCED amounts to Rs. </w:t>
      </w:r>
      <w:r w:rsidR="00054390">
        <w:rPr>
          <w:rFonts w:ascii="Times New Roman" w:eastAsia="SimSun" w:hAnsi="Times New Roman" w:cs="Times New Roman"/>
          <w:sz w:val="24"/>
          <w:szCs w:val="24"/>
          <w:lang w:val="en-IN" w:eastAsia="en-IN"/>
        </w:rPr>
        <w:t>52</w:t>
      </w:r>
      <w:r w:rsidR="00D4011C" w:rsidRPr="00E71156">
        <w:rPr>
          <w:rFonts w:ascii="Times New Roman" w:eastAsia="SimSun" w:hAnsi="Times New Roman" w:cs="Times New Roman"/>
          <w:sz w:val="24"/>
          <w:szCs w:val="24"/>
          <w:lang w:val="en-IN" w:eastAsia="en-IN"/>
        </w:rPr>
        <w:t>9</w:t>
      </w:r>
      <w:r w:rsidR="00054390">
        <w:rPr>
          <w:rFonts w:ascii="Times New Roman" w:eastAsia="SimSun" w:hAnsi="Times New Roman" w:cs="Times New Roman"/>
          <w:sz w:val="24"/>
          <w:szCs w:val="24"/>
          <w:lang w:val="en-IN" w:eastAsia="en-IN"/>
        </w:rPr>
        <w:t>.51</w:t>
      </w:r>
      <w:r w:rsidR="008D6827" w:rsidRPr="00E71156">
        <w:rPr>
          <w:rFonts w:ascii="Times New Roman" w:eastAsia="SimSun" w:hAnsi="Times New Roman" w:cs="Times New Roman"/>
          <w:sz w:val="24"/>
          <w:szCs w:val="24"/>
          <w:lang w:val="en-IN" w:eastAsia="en-IN"/>
        </w:rPr>
        <w:t>lakhs</w:t>
      </w:r>
      <w:r w:rsidRPr="00E71156">
        <w:rPr>
          <w:rFonts w:ascii="Times New Roman" w:eastAsia="SimSun" w:hAnsi="Times New Roman" w:cs="Times New Roman"/>
          <w:sz w:val="24"/>
          <w:szCs w:val="24"/>
          <w:lang w:val="en-IN" w:eastAsia="en-IN"/>
        </w:rPr>
        <w:t xml:space="preserve"> as detailed in Form D 2.4. </w:t>
      </w:r>
      <w:r w:rsidR="001E78CE" w:rsidRPr="00E71156">
        <w:rPr>
          <w:rFonts w:ascii="Times New Roman" w:eastAsia="SimSun" w:hAnsi="Times New Roman" w:cs="Times New Roman"/>
          <w:sz w:val="24"/>
          <w:szCs w:val="24"/>
          <w:lang w:val="en-IN" w:eastAsia="en-IN"/>
        </w:rPr>
        <w:t xml:space="preserve">Even though the pension disbursement is not the responsibility of TCED, TCED is distributing pension </w:t>
      </w:r>
      <w:r w:rsidR="003A5E24" w:rsidRPr="00E71156">
        <w:rPr>
          <w:rFonts w:ascii="Times New Roman" w:eastAsia="SimSun" w:hAnsi="Times New Roman" w:cs="Times New Roman"/>
          <w:sz w:val="24"/>
          <w:szCs w:val="24"/>
          <w:lang w:val="en-IN" w:eastAsia="en-IN"/>
        </w:rPr>
        <w:t xml:space="preserve">on behalf of Director of Urban Affairs to help the Govt of Kerala. The pension allotments are received once in a while, but non disbursement of pension will lead to unnecessary legal </w:t>
      </w:r>
      <w:r w:rsidR="0019740D" w:rsidRPr="00E71156">
        <w:rPr>
          <w:rFonts w:ascii="Times New Roman" w:eastAsia="SimSun" w:hAnsi="Times New Roman" w:cs="Times New Roman"/>
          <w:sz w:val="24"/>
          <w:szCs w:val="24"/>
          <w:lang w:val="en-IN" w:eastAsia="en-IN"/>
        </w:rPr>
        <w:t>batt</w:t>
      </w:r>
      <w:r w:rsidR="00E80098" w:rsidRPr="00E71156">
        <w:rPr>
          <w:rFonts w:ascii="Times New Roman" w:eastAsia="SimSun" w:hAnsi="Times New Roman" w:cs="Times New Roman"/>
          <w:sz w:val="24"/>
          <w:szCs w:val="24"/>
          <w:lang w:val="en-IN" w:eastAsia="en-IN"/>
        </w:rPr>
        <w:t>les</w:t>
      </w:r>
      <w:r w:rsidR="0019740D" w:rsidRPr="00E71156">
        <w:rPr>
          <w:rFonts w:ascii="Times New Roman" w:eastAsia="SimSun" w:hAnsi="Times New Roman" w:cs="Times New Roman"/>
          <w:sz w:val="24"/>
          <w:szCs w:val="24"/>
          <w:lang w:val="en-IN" w:eastAsia="en-IN"/>
        </w:rPr>
        <w:t xml:space="preserve"> between the pensioners and the Govt. of Kerala</w:t>
      </w:r>
      <w:r w:rsidR="00F33753" w:rsidRPr="00E71156">
        <w:rPr>
          <w:rFonts w:ascii="Times New Roman" w:eastAsia="SimSun" w:hAnsi="Times New Roman" w:cs="Times New Roman"/>
          <w:sz w:val="24"/>
          <w:szCs w:val="24"/>
          <w:lang w:val="en-IN" w:eastAsia="en-IN"/>
        </w:rPr>
        <w:t xml:space="preserve"> and </w:t>
      </w:r>
      <w:r w:rsidR="00831BAE" w:rsidRPr="00E71156">
        <w:rPr>
          <w:rFonts w:ascii="Times New Roman" w:eastAsia="SimSun" w:hAnsi="Times New Roman" w:cs="Times New Roman"/>
          <w:sz w:val="24"/>
          <w:szCs w:val="24"/>
          <w:lang w:val="en-IN" w:eastAsia="en-IN"/>
        </w:rPr>
        <w:t>wastage of public money on account of this.</w:t>
      </w:r>
      <w:r w:rsidR="00F33753" w:rsidRPr="00E71156">
        <w:rPr>
          <w:rFonts w:ascii="Times New Roman" w:eastAsia="SimSun" w:hAnsi="Times New Roman" w:cs="Times New Roman"/>
          <w:sz w:val="24"/>
          <w:szCs w:val="24"/>
          <w:lang w:val="en-IN" w:eastAsia="en-IN"/>
        </w:rPr>
        <w:t xml:space="preserve"> </w:t>
      </w:r>
      <w:r w:rsidR="00831BAE" w:rsidRPr="00E71156">
        <w:rPr>
          <w:rFonts w:ascii="Times New Roman" w:eastAsia="SimSun" w:hAnsi="Times New Roman" w:cs="Times New Roman"/>
          <w:sz w:val="24"/>
          <w:szCs w:val="24"/>
          <w:lang w:val="en-IN" w:eastAsia="en-IN"/>
        </w:rPr>
        <w:t xml:space="preserve"> But the Govt is not considering this aspect while sanctioning pension allotment and is not giving the nominal interest for the</w:t>
      </w:r>
      <w:r w:rsidR="00F262A4" w:rsidRPr="00E71156">
        <w:rPr>
          <w:rFonts w:ascii="Times New Roman" w:eastAsia="SimSun" w:hAnsi="Times New Roman" w:cs="Times New Roman"/>
          <w:sz w:val="24"/>
          <w:szCs w:val="24"/>
          <w:lang w:val="en-IN" w:eastAsia="en-IN"/>
        </w:rPr>
        <w:t xml:space="preserve"> amount spent for pension disbursal.</w:t>
      </w:r>
      <w:r w:rsidR="00831BAE" w:rsidRPr="00E71156">
        <w:rPr>
          <w:rFonts w:ascii="Times New Roman" w:eastAsia="SimSun" w:hAnsi="Times New Roman" w:cs="Times New Roman"/>
          <w:sz w:val="24"/>
          <w:szCs w:val="24"/>
          <w:lang w:val="en-IN" w:eastAsia="en-IN"/>
        </w:rPr>
        <w:t xml:space="preserve"> </w:t>
      </w:r>
      <w:r w:rsidR="00E80098" w:rsidRPr="00E71156">
        <w:rPr>
          <w:rFonts w:ascii="Times New Roman" w:eastAsia="SimSun" w:hAnsi="Times New Roman" w:cs="Times New Roman"/>
          <w:sz w:val="24"/>
          <w:szCs w:val="24"/>
          <w:lang w:val="en-IN" w:eastAsia="en-IN"/>
        </w:rPr>
        <w:t xml:space="preserve">The Hon’ble Commission is treating this amount as regulatory surplus and charging interest to the tune of </w:t>
      </w:r>
      <w:r w:rsidR="0019740D" w:rsidRPr="00E71156">
        <w:rPr>
          <w:rFonts w:ascii="Times New Roman" w:eastAsia="SimSun" w:hAnsi="Times New Roman" w:cs="Times New Roman"/>
          <w:sz w:val="24"/>
          <w:szCs w:val="24"/>
          <w:lang w:val="en-IN" w:eastAsia="en-IN"/>
        </w:rPr>
        <w:t>9</w:t>
      </w:r>
      <w:r w:rsidR="00E80098" w:rsidRPr="00E71156">
        <w:rPr>
          <w:rFonts w:ascii="Times New Roman" w:eastAsia="SimSun" w:hAnsi="Times New Roman" w:cs="Times New Roman"/>
          <w:sz w:val="24"/>
          <w:szCs w:val="24"/>
          <w:lang w:val="en-IN" w:eastAsia="en-IN"/>
        </w:rPr>
        <w:t>%</w:t>
      </w:r>
      <w:r w:rsidR="0019740D" w:rsidRPr="00E71156">
        <w:rPr>
          <w:rFonts w:ascii="Times New Roman" w:eastAsia="SimSun" w:hAnsi="Times New Roman" w:cs="Times New Roman"/>
          <w:sz w:val="24"/>
          <w:szCs w:val="24"/>
          <w:lang w:val="en-IN" w:eastAsia="en-IN"/>
        </w:rPr>
        <w:t xml:space="preserve"> which is unfair. So TCED requests the Hon’ble KSERC not to treat that amount as regulatory surplus.</w:t>
      </w:r>
    </w:p>
    <w:p w:rsidR="00607CCC" w:rsidRPr="00E71156" w:rsidRDefault="0019740D" w:rsidP="00727E19">
      <w:pPr>
        <w:autoSpaceDE w:val="0"/>
        <w:autoSpaceDN w:val="0"/>
        <w:adjustRightInd w:val="0"/>
        <w:spacing w:after="0" w:line="360" w:lineRule="auto"/>
        <w:jc w:val="both"/>
        <w:rPr>
          <w:rFonts w:ascii="Times New Roman" w:eastAsia="SimSun" w:hAnsi="Times New Roman" w:cs="Times New Roman"/>
          <w:sz w:val="24"/>
          <w:szCs w:val="24"/>
          <w:lang w:val="en-IN" w:eastAsia="en-IN"/>
        </w:rPr>
      </w:pPr>
      <w:r w:rsidRPr="00E71156">
        <w:rPr>
          <w:rFonts w:ascii="Times New Roman" w:eastAsia="SimSun" w:hAnsi="Times New Roman" w:cs="Times New Roman"/>
          <w:sz w:val="24"/>
          <w:szCs w:val="24"/>
          <w:lang w:val="en-IN" w:eastAsia="en-IN"/>
        </w:rPr>
        <w:t xml:space="preserve">The main components of non tariff income are the interest from fixed deposits and that amounts to Rs. 275.24 lakhs, Interest on security deposit with KSEBL Rs.36.66 lakhs, interest on belated payment </w:t>
      </w:r>
      <w:r w:rsidR="00EB1F49" w:rsidRPr="00E71156">
        <w:rPr>
          <w:rFonts w:ascii="Times New Roman" w:eastAsia="SimSun" w:hAnsi="Times New Roman" w:cs="Times New Roman"/>
          <w:sz w:val="24"/>
          <w:szCs w:val="24"/>
          <w:lang w:val="en-IN" w:eastAsia="en-IN"/>
        </w:rPr>
        <w:t>Rs. 76.9 lakhs, pole rental income Rs. 45.86lakhs, collection charges for section 4 duty Rs. 10.80lakhs, meter rent Rs. 47.06lakhs,</w:t>
      </w:r>
      <w:r w:rsidR="005672E4" w:rsidRPr="00E71156">
        <w:rPr>
          <w:rFonts w:ascii="Times New Roman" w:eastAsia="SimSun" w:hAnsi="Times New Roman" w:cs="Times New Roman"/>
          <w:sz w:val="24"/>
          <w:szCs w:val="24"/>
          <w:lang w:val="en-IN" w:eastAsia="en-IN"/>
        </w:rPr>
        <w:t xml:space="preserve"> income grouped under miscellaneous are mainly </w:t>
      </w:r>
      <w:r w:rsidR="005672E4" w:rsidRPr="00E71156">
        <w:rPr>
          <w:rFonts w:ascii="Times New Roman" w:eastAsia="SimSun" w:hAnsi="Times New Roman" w:cs="Times New Roman"/>
          <w:sz w:val="24"/>
          <w:szCs w:val="24"/>
          <w:lang w:val="en-IN" w:eastAsia="en-IN"/>
        </w:rPr>
        <w:lastRenderedPageBreak/>
        <w:t>reconnection fee Rs. 14.07lakhs, SOC Rs. 7.01lakhs, CDC fee Rs.2.02 lakhs, Cost of tender form Rs. 1.9lakhs, additional load charge Rs. 2.82lakhs etc.</w:t>
      </w:r>
    </w:p>
    <w:p w:rsidR="005672E4" w:rsidRPr="00E71156" w:rsidRDefault="005672E4" w:rsidP="00727E19">
      <w:pPr>
        <w:autoSpaceDE w:val="0"/>
        <w:autoSpaceDN w:val="0"/>
        <w:adjustRightInd w:val="0"/>
        <w:spacing w:after="0" w:line="360" w:lineRule="auto"/>
        <w:jc w:val="both"/>
        <w:rPr>
          <w:rFonts w:ascii="Times New Roman" w:eastAsia="SimSun" w:hAnsi="Times New Roman" w:cs="Times New Roman"/>
          <w:b/>
          <w:sz w:val="24"/>
          <w:szCs w:val="24"/>
          <w:lang w:val="en-IN" w:eastAsia="en-IN"/>
        </w:rPr>
      </w:pPr>
    </w:p>
    <w:p w:rsidR="001F1BBC" w:rsidRPr="00E71156" w:rsidRDefault="00064D72" w:rsidP="00727E19">
      <w:pPr>
        <w:autoSpaceDE w:val="0"/>
        <w:autoSpaceDN w:val="0"/>
        <w:adjustRightInd w:val="0"/>
        <w:spacing w:after="0" w:line="360" w:lineRule="auto"/>
        <w:jc w:val="both"/>
        <w:rPr>
          <w:rFonts w:ascii="Times New Roman" w:eastAsia="SimSun" w:hAnsi="Times New Roman" w:cs="Times New Roman"/>
          <w:b/>
          <w:sz w:val="24"/>
          <w:szCs w:val="24"/>
          <w:lang w:val="en-IN" w:eastAsia="en-IN"/>
        </w:rPr>
      </w:pPr>
      <w:r w:rsidRPr="00E71156">
        <w:rPr>
          <w:rFonts w:ascii="Times New Roman" w:eastAsia="SimSun" w:hAnsi="Times New Roman" w:cs="Times New Roman"/>
          <w:b/>
          <w:sz w:val="24"/>
          <w:szCs w:val="24"/>
          <w:lang w:val="en-IN" w:eastAsia="en-IN"/>
        </w:rPr>
        <w:t>5.2</w:t>
      </w:r>
      <w:r w:rsidR="005672E4" w:rsidRPr="00E71156">
        <w:rPr>
          <w:rFonts w:ascii="Times New Roman" w:eastAsia="SimSun" w:hAnsi="Times New Roman" w:cs="Times New Roman"/>
          <w:b/>
          <w:sz w:val="24"/>
          <w:szCs w:val="24"/>
          <w:lang w:val="en-IN" w:eastAsia="en-IN"/>
        </w:rPr>
        <w:t xml:space="preserve"> Tariff Income</w:t>
      </w:r>
    </w:p>
    <w:p w:rsidR="00741BA9" w:rsidRPr="00E71156" w:rsidRDefault="00741BA9"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tbl>
      <w:tblPr>
        <w:tblStyle w:val="TableGrid"/>
        <w:tblW w:w="0" w:type="auto"/>
        <w:tblLook w:val="04A0"/>
      </w:tblPr>
      <w:tblGrid>
        <w:gridCol w:w="911"/>
        <w:gridCol w:w="1925"/>
        <w:gridCol w:w="1602"/>
        <w:gridCol w:w="1710"/>
        <w:gridCol w:w="1710"/>
        <w:gridCol w:w="1975"/>
      </w:tblGrid>
      <w:tr w:rsidR="00B95324" w:rsidRPr="00E71156" w:rsidTr="008C2866">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No</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category</w:t>
            </w:r>
          </w:p>
        </w:tc>
        <w:tc>
          <w:tcPr>
            <w:tcW w:w="3312" w:type="dxa"/>
            <w:gridSpan w:val="2"/>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Energy sales</w:t>
            </w:r>
          </w:p>
        </w:tc>
        <w:tc>
          <w:tcPr>
            <w:tcW w:w="3685" w:type="dxa"/>
            <w:gridSpan w:val="2"/>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Revenue</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p>
        </w:tc>
        <w:tc>
          <w:tcPr>
            <w:tcW w:w="1602"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MU</w:t>
            </w:r>
          </w:p>
        </w:tc>
        <w:tc>
          <w:tcPr>
            <w:tcW w:w="1710" w:type="dxa"/>
          </w:tcPr>
          <w:p w:rsidR="00B95324" w:rsidRPr="00E71156" w:rsidRDefault="00B95324" w:rsidP="00B36DC5">
            <w:pPr>
              <w:autoSpaceDE w:val="0"/>
              <w:autoSpaceDN w:val="0"/>
              <w:adjustRightInd w:val="0"/>
              <w:spacing w:after="0" w:line="360" w:lineRule="auto"/>
              <w:jc w:val="center"/>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w:t>
            </w:r>
          </w:p>
        </w:tc>
        <w:tc>
          <w:tcPr>
            <w:tcW w:w="1710" w:type="dxa"/>
          </w:tcPr>
          <w:p w:rsidR="00B95324" w:rsidRPr="00E71156" w:rsidRDefault="006D7F43"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Lakhs</w:t>
            </w:r>
          </w:p>
        </w:tc>
        <w:tc>
          <w:tcPr>
            <w:tcW w:w="1975" w:type="dxa"/>
          </w:tcPr>
          <w:p w:rsidR="00B95324" w:rsidRPr="00E71156" w:rsidRDefault="00B95324" w:rsidP="00B36DC5">
            <w:pPr>
              <w:autoSpaceDE w:val="0"/>
              <w:autoSpaceDN w:val="0"/>
              <w:adjustRightInd w:val="0"/>
              <w:spacing w:after="0" w:line="360" w:lineRule="auto"/>
              <w:jc w:val="center"/>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Domestic</w:t>
            </w:r>
          </w:p>
        </w:tc>
        <w:tc>
          <w:tcPr>
            <w:tcW w:w="1602" w:type="dxa"/>
          </w:tcPr>
          <w:p w:rsidR="00B95324" w:rsidRPr="00E71156" w:rsidRDefault="005672E4"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40.10</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27.03%</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2440.64</w:t>
            </w:r>
          </w:p>
        </w:tc>
        <w:tc>
          <w:tcPr>
            <w:tcW w:w="1975" w:type="dxa"/>
          </w:tcPr>
          <w:p w:rsidR="00B95324" w:rsidRPr="00E71156" w:rsidRDefault="006D7F43"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18.44</w:t>
            </w:r>
            <w:r w:rsidR="00EA19A1" w:rsidRPr="00E71156">
              <w:rPr>
                <w:rFonts w:ascii="Times New Roman" w:eastAsia="SimSun" w:hAnsi="Times New Roman" w:cs="Times New Roman"/>
                <w:bCs/>
                <w:sz w:val="24"/>
                <w:szCs w:val="24"/>
                <w:lang w:val="en-IN" w:eastAsia="en-IN"/>
              </w:rPr>
              <w:t>%</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2</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Agriculture</w:t>
            </w:r>
          </w:p>
        </w:tc>
        <w:tc>
          <w:tcPr>
            <w:tcW w:w="1602" w:type="dxa"/>
          </w:tcPr>
          <w:p w:rsidR="00B95324" w:rsidRPr="00E71156" w:rsidRDefault="00B36DC5"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0.05</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0.03%</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2.26</w:t>
            </w:r>
          </w:p>
        </w:tc>
        <w:tc>
          <w:tcPr>
            <w:tcW w:w="1975" w:type="dxa"/>
          </w:tcPr>
          <w:p w:rsidR="00B95324" w:rsidRPr="00E71156" w:rsidRDefault="006D7F43"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0.02</w:t>
            </w:r>
            <w:r w:rsidR="00EA19A1" w:rsidRPr="00E71156">
              <w:rPr>
                <w:rFonts w:ascii="Times New Roman" w:eastAsia="SimSun" w:hAnsi="Times New Roman" w:cs="Times New Roman"/>
                <w:bCs/>
                <w:sz w:val="24"/>
                <w:szCs w:val="24"/>
                <w:lang w:val="en-IN" w:eastAsia="en-IN"/>
              </w:rPr>
              <w:t>%</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3</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Non Domestic</w:t>
            </w:r>
          </w:p>
        </w:tc>
        <w:tc>
          <w:tcPr>
            <w:tcW w:w="1602" w:type="dxa"/>
          </w:tcPr>
          <w:p w:rsidR="00B95324" w:rsidRPr="00E71156" w:rsidRDefault="00B36DC5"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15.87</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10.70%</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1559.64</w:t>
            </w:r>
          </w:p>
        </w:tc>
        <w:tc>
          <w:tcPr>
            <w:tcW w:w="1975" w:type="dxa"/>
          </w:tcPr>
          <w:p w:rsidR="00B95324" w:rsidRPr="00E71156" w:rsidRDefault="006D7F43"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11.78</w:t>
            </w:r>
            <w:r w:rsidR="00EA19A1" w:rsidRPr="00E71156">
              <w:rPr>
                <w:rFonts w:ascii="Times New Roman" w:eastAsia="SimSun" w:hAnsi="Times New Roman" w:cs="Times New Roman"/>
                <w:bCs/>
                <w:sz w:val="24"/>
                <w:szCs w:val="24"/>
                <w:lang w:val="en-IN" w:eastAsia="en-IN"/>
              </w:rPr>
              <w:t>%</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4</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Commercial (LT)</w:t>
            </w:r>
          </w:p>
        </w:tc>
        <w:tc>
          <w:tcPr>
            <w:tcW w:w="1602" w:type="dxa"/>
          </w:tcPr>
          <w:p w:rsidR="00B95324" w:rsidRPr="00E71156" w:rsidRDefault="00B36DC5"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43.02</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29%</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4581.86</w:t>
            </w:r>
          </w:p>
        </w:tc>
        <w:tc>
          <w:tcPr>
            <w:tcW w:w="1975" w:type="dxa"/>
          </w:tcPr>
          <w:p w:rsidR="00B95324" w:rsidRPr="00E71156" w:rsidRDefault="00EA19A1"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34.61%</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5</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Public Lighting</w:t>
            </w:r>
          </w:p>
        </w:tc>
        <w:tc>
          <w:tcPr>
            <w:tcW w:w="1602" w:type="dxa"/>
          </w:tcPr>
          <w:p w:rsidR="00B95324" w:rsidRPr="00E71156" w:rsidRDefault="00B36DC5"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1.21</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0.82%</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58.06</w:t>
            </w:r>
          </w:p>
        </w:tc>
        <w:tc>
          <w:tcPr>
            <w:tcW w:w="1975" w:type="dxa"/>
          </w:tcPr>
          <w:p w:rsidR="00B95324" w:rsidRPr="00E71156" w:rsidRDefault="00EA19A1"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0.44%</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6</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Industrial</w:t>
            </w:r>
          </w:p>
        </w:tc>
        <w:tc>
          <w:tcPr>
            <w:tcW w:w="1602" w:type="dxa"/>
          </w:tcPr>
          <w:p w:rsidR="00B95324" w:rsidRPr="00E71156" w:rsidRDefault="00B36DC5"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3.27</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2.20%</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230.80</w:t>
            </w:r>
          </w:p>
        </w:tc>
        <w:tc>
          <w:tcPr>
            <w:tcW w:w="1975" w:type="dxa"/>
          </w:tcPr>
          <w:p w:rsidR="00B95324" w:rsidRPr="00E71156" w:rsidRDefault="00EA19A1"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1.74%</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7</w:t>
            </w: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 xml:space="preserve">HT </w:t>
            </w:r>
          </w:p>
        </w:tc>
        <w:tc>
          <w:tcPr>
            <w:tcW w:w="1602" w:type="dxa"/>
          </w:tcPr>
          <w:p w:rsidR="00B95324" w:rsidRPr="00E71156" w:rsidRDefault="00B36DC5"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44.84</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30.22%</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4364.32</w:t>
            </w:r>
          </w:p>
        </w:tc>
        <w:tc>
          <w:tcPr>
            <w:tcW w:w="1975" w:type="dxa"/>
          </w:tcPr>
          <w:p w:rsidR="00B95324" w:rsidRPr="00E71156" w:rsidRDefault="00EA19A1"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32.97%</w:t>
            </w:r>
          </w:p>
        </w:tc>
      </w:tr>
      <w:tr w:rsidR="00B95324" w:rsidRPr="00E71156" w:rsidTr="00B95324">
        <w:tc>
          <w:tcPr>
            <w:tcW w:w="911"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p>
        </w:tc>
        <w:tc>
          <w:tcPr>
            <w:tcW w:w="1925" w:type="dxa"/>
          </w:tcPr>
          <w:p w:rsidR="00B95324" w:rsidRPr="00E71156" w:rsidRDefault="00B95324" w:rsidP="00727E19">
            <w:pPr>
              <w:autoSpaceDE w:val="0"/>
              <w:autoSpaceDN w:val="0"/>
              <w:adjustRightInd w:val="0"/>
              <w:spacing w:after="0" w:line="360" w:lineRule="auto"/>
              <w:jc w:val="both"/>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Total</w:t>
            </w:r>
          </w:p>
        </w:tc>
        <w:tc>
          <w:tcPr>
            <w:tcW w:w="1602" w:type="dxa"/>
          </w:tcPr>
          <w:p w:rsidR="00B95324" w:rsidRPr="00E71156" w:rsidRDefault="00B36DC5"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148.36</w:t>
            </w:r>
          </w:p>
        </w:tc>
        <w:tc>
          <w:tcPr>
            <w:tcW w:w="1710" w:type="dxa"/>
          </w:tcPr>
          <w:p w:rsidR="00B95324" w:rsidRPr="00E71156" w:rsidRDefault="00B36DC5"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100%</w:t>
            </w:r>
          </w:p>
        </w:tc>
        <w:tc>
          <w:tcPr>
            <w:tcW w:w="1710" w:type="dxa"/>
          </w:tcPr>
          <w:p w:rsidR="00B95324" w:rsidRPr="00E71156" w:rsidRDefault="006D7F43" w:rsidP="005672E4">
            <w:pPr>
              <w:autoSpaceDE w:val="0"/>
              <w:autoSpaceDN w:val="0"/>
              <w:adjustRightInd w:val="0"/>
              <w:spacing w:after="0" w:line="360" w:lineRule="auto"/>
              <w:jc w:val="right"/>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13237.58</w:t>
            </w:r>
          </w:p>
        </w:tc>
        <w:tc>
          <w:tcPr>
            <w:tcW w:w="1975" w:type="dxa"/>
          </w:tcPr>
          <w:p w:rsidR="00B95324" w:rsidRPr="00E71156" w:rsidRDefault="00EA19A1" w:rsidP="00B36DC5">
            <w:pPr>
              <w:autoSpaceDE w:val="0"/>
              <w:autoSpaceDN w:val="0"/>
              <w:adjustRightInd w:val="0"/>
              <w:spacing w:after="0" w:line="360" w:lineRule="auto"/>
              <w:jc w:val="center"/>
              <w:rPr>
                <w:rFonts w:ascii="Times New Roman" w:eastAsia="SimSun" w:hAnsi="Times New Roman" w:cs="Times New Roman"/>
                <w:bCs/>
                <w:sz w:val="24"/>
                <w:szCs w:val="24"/>
                <w:lang w:val="en-IN" w:eastAsia="en-IN"/>
              </w:rPr>
            </w:pPr>
            <w:r w:rsidRPr="00E71156">
              <w:rPr>
                <w:rFonts w:ascii="Times New Roman" w:eastAsia="SimSun" w:hAnsi="Times New Roman" w:cs="Times New Roman"/>
                <w:bCs/>
                <w:sz w:val="24"/>
                <w:szCs w:val="24"/>
                <w:lang w:val="en-IN" w:eastAsia="en-IN"/>
              </w:rPr>
              <w:t>100%</w:t>
            </w:r>
          </w:p>
        </w:tc>
      </w:tr>
    </w:tbl>
    <w:p w:rsidR="00607CCC" w:rsidRPr="00E71156" w:rsidRDefault="00607CCC" w:rsidP="00727E19">
      <w:p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p>
    <w:p w:rsidR="006E14DE" w:rsidRPr="00E71156" w:rsidRDefault="00B875CE" w:rsidP="00E71156">
      <w:pPr>
        <w:pStyle w:val="ListParagraph"/>
        <w:numPr>
          <w:ilvl w:val="0"/>
          <w:numId w:val="13"/>
        </w:numPr>
        <w:autoSpaceDE w:val="0"/>
        <w:autoSpaceDN w:val="0"/>
        <w:adjustRightInd w:val="0"/>
        <w:spacing w:after="0" w:line="360" w:lineRule="auto"/>
        <w:jc w:val="both"/>
        <w:rPr>
          <w:rFonts w:ascii="Times New Roman" w:eastAsia="SimSun" w:hAnsi="Times New Roman" w:cs="Times New Roman"/>
          <w:b/>
          <w:bCs/>
          <w:sz w:val="24"/>
          <w:szCs w:val="24"/>
          <w:lang w:val="en-IN" w:eastAsia="en-IN"/>
        </w:rPr>
      </w:pPr>
      <w:r w:rsidRPr="00E71156">
        <w:rPr>
          <w:rFonts w:ascii="Times New Roman" w:eastAsia="SimSun" w:hAnsi="Times New Roman" w:cs="Times New Roman"/>
          <w:b/>
          <w:bCs/>
          <w:sz w:val="24"/>
          <w:szCs w:val="24"/>
          <w:lang w:val="en-IN" w:eastAsia="en-IN"/>
        </w:rPr>
        <w:t>Deficit / Surplus</w:t>
      </w:r>
    </w:p>
    <w:tbl>
      <w:tblPr>
        <w:tblStyle w:val="TableGrid"/>
        <w:tblW w:w="0" w:type="auto"/>
        <w:tblLook w:val="04A0"/>
      </w:tblPr>
      <w:tblGrid>
        <w:gridCol w:w="3652"/>
        <w:gridCol w:w="1985"/>
        <w:gridCol w:w="1984"/>
        <w:gridCol w:w="1276"/>
      </w:tblGrid>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Particulars</w:t>
            </w:r>
          </w:p>
        </w:tc>
        <w:tc>
          <w:tcPr>
            <w:tcW w:w="1985"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ARR</w:t>
            </w:r>
          </w:p>
        </w:tc>
        <w:tc>
          <w:tcPr>
            <w:tcW w:w="1984"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True Up</w:t>
            </w:r>
          </w:p>
        </w:tc>
        <w:tc>
          <w:tcPr>
            <w:tcW w:w="1276"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Difference</w:t>
            </w: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Power Purchase cost</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11632.97</w:t>
            </w:r>
          </w:p>
        </w:tc>
        <w:tc>
          <w:tcPr>
            <w:tcW w:w="1984"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11632.97</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sz w:val="24"/>
                <w:szCs w:val="24"/>
                <w:lang w:val="en-IN" w:eastAsia="en-IN"/>
              </w:rPr>
              <w:t>Interest &amp; Finance Charges</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174.21</w:t>
            </w:r>
          </w:p>
        </w:tc>
        <w:tc>
          <w:tcPr>
            <w:tcW w:w="1984"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174.21</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sz w:val="24"/>
                <w:szCs w:val="24"/>
                <w:lang w:val="en-IN" w:eastAsia="en-IN"/>
              </w:rPr>
              <w:t>Depreciation</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232.25</w:t>
            </w:r>
          </w:p>
        </w:tc>
        <w:tc>
          <w:tcPr>
            <w:tcW w:w="1984" w:type="dxa"/>
          </w:tcPr>
          <w:p w:rsidR="00FD4A0D" w:rsidRPr="00E71156" w:rsidRDefault="00054390"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Pr>
                <w:rFonts w:ascii="Times New Roman" w:eastAsia="SimSun" w:hAnsi="Times New Roman" w:cs="Times New Roman"/>
                <w:color w:val="000000"/>
                <w:sz w:val="24"/>
                <w:szCs w:val="24"/>
                <w:lang w:val="en-IN" w:eastAsia="en-IN"/>
              </w:rPr>
              <w:t>231.88</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bCs/>
                <w:sz w:val="24"/>
                <w:szCs w:val="24"/>
                <w:lang w:val="en-IN" w:eastAsia="en-IN"/>
              </w:rPr>
              <w:t>O&amp;M Expenses</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1472.07</w:t>
            </w:r>
          </w:p>
        </w:tc>
        <w:tc>
          <w:tcPr>
            <w:tcW w:w="1984"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14</w:t>
            </w:r>
            <w:r w:rsidR="007C5CC2" w:rsidRPr="00E71156">
              <w:rPr>
                <w:rFonts w:ascii="Times New Roman" w:eastAsia="SimSun" w:hAnsi="Times New Roman" w:cs="Times New Roman"/>
                <w:color w:val="000000"/>
                <w:sz w:val="24"/>
                <w:szCs w:val="24"/>
                <w:lang w:val="en-IN" w:eastAsia="en-IN"/>
              </w:rPr>
              <w:t>65.</w:t>
            </w:r>
            <w:r w:rsidR="00270F63" w:rsidRPr="00E71156">
              <w:rPr>
                <w:rFonts w:ascii="Times New Roman" w:eastAsia="SimSun" w:hAnsi="Times New Roman" w:cs="Times New Roman"/>
                <w:color w:val="000000"/>
                <w:sz w:val="24"/>
                <w:szCs w:val="24"/>
                <w:lang w:val="en-IN" w:eastAsia="en-IN"/>
              </w:rPr>
              <w:t>68</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bCs/>
                <w:sz w:val="24"/>
                <w:szCs w:val="24"/>
                <w:lang w:val="en-IN" w:eastAsia="en-IN"/>
              </w:rPr>
              <w:t>Pay revision arrears</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174.21</w:t>
            </w:r>
          </w:p>
        </w:tc>
        <w:tc>
          <w:tcPr>
            <w:tcW w:w="1984" w:type="dxa"/>
          </w:tcPr>
          <w:p w:rsidR="00FD4A0D" w:rsidRPr="00E71156" w:rsidRDefault="007C5CC2"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127.50</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bCs/>
                <w:sz w:val="24"/>
                <w:szCs w:val="24"/>
                <w:lang w:val="en-IN" w:eastAsia="en-IN"/>
              </w:rPr>
              <w:t>Return on equity(5.5%)</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148.91</w:t>
            </w:r>
          </w:p>
        </w:tc>
        <w:tc>
          <w:tcPr>
            <w:tcW w:w="1984"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148.91</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bCs/>
                <w:sz w:val="24"/>
                <w:szCs w:val="24"/>
                <w:lang w:val="en-IN" w:eastAsia="en-IN"/>
              </w:rPr>
              <w:t>Other Expenses</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c>
          <w:tcPr>
            <w:tcW w:w="1984"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b/>
                <w:color w:val="000000"/>
                <w:sz w:val="24"/>
                <w:szCs w:val="24"/>
                <w:lang w:val="en-IN" w:eastAsia="en-IN"/>
              </w:rPr>
            </w:pPr>
            <w:r w:rsidRPr="00E71156">
              <w:rPr>
                <w:rFonts w:ascii="Times New Roman" w:eastAsia="SimSun" w:hAnsi="Times New Roman" w:cs="Times New Roman"/>
                <w:b/>
                <w:bCs/>
                <w:sz w:val="24"/>
                <w:szCs w:val="24"/>
                <w:lang w:val="en-IN" w:eastAsia="en-IN"/>
              </w:rPr>
              <w:t>Total ARR</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13787.92</w:t>
            </w:r>
          </w:p>
        </w:tc>
        <w:tc>
          <w:tcPr>
            <w:tcW w:w="1984" w:type="dxa"/>
          </w:tcPr>
          <w:p w:rsidR="00FD4A0D" w:rsidRPr="00E71156" w:rsidRDefault="00054390"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Pr>
                <w:rFonts w:ascii="Times New Roman" w:eastAsia="SimSun" w:hAnsi="Times New Roman" w:cs="Times New Roman"/>
                <w:color w:val="000000"/>
                <w:sz w:val="24"/>
                <w:szCs w:val="24"/>
                <w:lang w:val="en-IN" w:eastAsia="en-IN"/>
              </w:rPr>
              <w:t>13781.16</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sz w:val="24"/>
                <w:szCs w:val="24"/>
                <w:lang w:val="en-IN" w:eastAsia="en-IN"/>
              </w:rPr>
              <w:t>Tariff Income</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13237.58</w:t>
            </w:r>
          </w:p>
        </w:tc>
        <w:tc>
          <w:tcPr>
            <w:tcW w:w="1984"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13237.58</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sz w:val="24"/>
                <w:szCs w:val="24"/>
                <w:lang w:val="en-IN" w:eastAsia="en-IN"/>
              </w:rPr>
              <w:t>Non-Tariff Income</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535.79</w:t>
            </w:r>
          </w:p>
        </w:tc>
        <w:tc>
          <w:tcPr>
            <w:tcW w:w="1984" w:type="dxa"/>
          </w:tcPr>
          <w:p w:rsidR="00FD4A0D" w:rsidRPr="00E71156" w:rsidRDefault="00FD4A0D" w:rsidP="00990AC1">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5</w:t>
            </w:r>
            <w:r w:rsidR="007C5CC2" w:rsidRPr="00E71156">
              <w:rPr>
                <w:rFonts w:ascii="Times New Roman" w:eastAsia="SimSun" w:hAnsi="Times New Roman" w:cs="Times New Roman"/>
                <w:color w:val="000000"/>
                <w:sz w:val="24"/>
                <w:szCs w:val="24"/>
                <w:lang w:val="en-IN" w:eastAsia="en-IN"/>
              </w:rPr>
              <w:t>2</w:t>
            </w:r>
            <w:r w:rsidR="00990AC1">
              <w:rPr>
                <w:rFonts w:ascii="Times New Roman" w:eastAsia="SimSun" w:hAnsi="Times New Roman" w:cs="Times New Roman"/>
                <w:color w:val="000000"/>
                <w:sz w:val="24"/>
                <w:szCs w:val="24"/>
                <w:lang w:val="en-IN" w:eastAsia="en-IN"/>
              </w:rPr>
              <w:t>9</w:t>
            </w:r>
            <w:r w:rsidR="007C5CC2" w:rsidRPr="00E71156">
              <w:rPr>
                <w:rFonts w:ascii="Times New Roman" w:eastAsia="SimSun" w:hAnsi="Times New Roman" w:cs="Times New Roman"/>
                <w:color w:val="000000"/>
                <w:sz w:val="24"/>
                <w:szCs w:val="24"/>
                <w:lang w:val="en-IN" w:eastAsia="en-IN"/>
              </w:rPr>
              <w:t>.</w:t>
            </w:r>
            <w:r w:rsidR="00990AC1">
              <w:rPr>
                <w:rFonts w:ascii="Times New Roman" w:eastAsia="SimSun" w:hAnsi="Times New Roman" w:cs="Times New Roman"/>
                <w:color w:val="000000"/>
                <w:sz w:val="24"/>
                <w:szCs w:val="24"/>
                <w:lang w:val="en-IN" w:eastAsia="en-IN"/>
              </w:rPr>
              <w:t>51</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b/>
                <w:bCs/>
                <w:sz w:val="24"/>
                <w:szCs w:val="24"/>
                <w:lang w:val="en-IN" w:eastAsia="en-IN"/>
              </w:rPr>
              <w:t>Total ERC</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13773.37</w:t>
            </w:r>
          </w:p>
        </w:tc>
        <w:tc>
          <w:tcPr>
            <w:tcW w:w="1984" w:type="dxa"/>
          </w:tcPr>
          <w:p w:rsidR="00FD4A0D" w:rsidRPr="00E71156" w:rsidRDefault="004D5C66" w:rsidP="004D5C66">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1376</w:t>
            </w:r>
            <w:r w:rsidR="00990AC1">
              <w:rPr>
                <w:rFonts w:ascii="Times New Roman" w:eastAsia="SimSun" w:hAnsi="Times New Roman" w:cs="Times New Roman"/>
                <w:color w:val="000000"/>
                <w:sz w:val="24"/>
                <w:szCs w:val="24"/>
                <w:lang w:val="en-IN" w:eastAsia="en-IN"/>
              </w:rPr>
              <w:t>7.09</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r w:rsidR="00FD4A0D" w:rsidRPr="00E71156" w:rsidTr="00ED66C3">
        <w:tc>
          <w:tcPr>
            <w:tcW w:w="3652" w:type="dxa"/>
          </w:tcPr>
          <w:p w:rsidR="00FD4A0D" w:rsidRPr="00E71156" w:rsidRDefault="00FD4A0D"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b/>
                <w:bCs/>
                <w:sz w:val="24"/>
                <w:szCs w:val="24"/>
                <w:lang w:val="en-IN" w:eastAsia="en-IN"/>
              </w:rPr>
              <w:t>Net Revenue Gap (-)/ Surplus (+)</w:t>
            </w:r>
          </w:p>
        </w:tc>
        <w:tc>
          <w:tcPr>
            <w:tcW w:w="1985" w:type="dxa"/>
          </w:tcPr>
          <w:p w:rsidR="00FD4A0D" w:rsidRPr="00E71156" w:rsidRDefault="00FD4A0D" w:rsidP="00525292">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(14.55)</w:t>
            </w:r>
          </w:p>
        </w:tc>
        <w:tc>
          <w:tcPr>
            <w:tcW w:w="1984" w:type="dxa"/>
          </w:tcPr>
          <w:p w:rsidR="00FD4A0D" w:rsidRPr="00E71156" w:rsidRDefault="00FD4A0D" w:rsidP="00990AC1">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r w:rsidRPr="00E71156">
              <w:rPr>
                <w:rFonts w:ascii="Times New Roman" w:eastAsia="SimSun" w:hAnsi="Times New Roman" w:cs="Times New Roman"/>
                <w:color w:val="000000"/>
                <w:sz w:val="24"/>
                <w:szCs w:val="24"/>
                <w:lang w:val="en-IN" w:eastAsia="en-IN"/>
              </w:rPr>
              <w:t>(</w:t>
            </w:r>
            <w:r w:rsidR="00990AC1">
              <w:rPr>
                <w:rFonts w:ascii="Times New Roman" w:eastAsia="SimSun" w:hAnsi="Times New Roman" w:cs="Times New Roman"/>
                <w:color w:val="000000"/>
                <w:sz w:val="24"/>
                <w:szCs w:val="24"/>
                <w:lang w:val="en-IN" w:eastAsia="en-IN"/>
              </w:rPr>
              <w:t>14.07</w:t>
            </w:r>
            <w:r w:rsidRPr="00E71156">
              <w:rPr>
                <w:rFonts w:ascii="Times New Roman" w:eastAsia="SimSun" w:hAnsi="Times New Roman" w:cs="Times New Roman"/>
                <w:color w:val="000000"/>
                <w:sz w:val="24"/>
                <w:szCs w:val="24"/>
                <w:lang w:val="en-IN" w:eastAsia="en-IN"/>
              </w:rPr>
              <w:t>)</w:t>
            </w:r>
          </w:p>
        </w:tc>
        <w:tc>
          <w:tcPr>
            <w:tcW w:w="1276" w:type="dxa"/>
          </w:tcPr>
          <w:p w:rsidR="00FD4A0D" w:rsidRPr="00E71156" w:rsidRDefault="00FD4A0D" w:rsidP="00FD4A0D">
            <w:pPr>
              <w:autoSpaceDE w:val="0"/>
              <w:autoSpaceDN w:val="0"/>
              <w:adjustRightInd w:val="0"/>
              <w:spacing w:after="0" w:line="360" w:lineRule="auto"/>
              <w:jc w:val="right"/>
              <w:rPr>
                <w:rFonts w:ascii="Times New Roman" w:eastAsia="SimSun" w:hAnsi="Times New Roman" w:cs="Times New Roman"/>
                <w:color w:val="000000"/>
                <w:sz w:val="24"/>
                <w:szCs w:val="24"/>
                <w:lang w:val="en-IN" w:eastAsia="en-IN"/>
              </w:rPr>
            </w:pPr>
          </w:p>
        </w:tc>
      </w:tr>
    </w:tbl>
    <w:p w:rsidR="00DC1B26" w:rsidRPr="00E71156" w:rsidRDefault="00DC1B26" w:rsidP="00727E19">
      <w:pPr>
        <w:autoSpaceDE w:val="0"/>
        <w:autoSpaceDN w:val="0"/>
        <w:adjustRightInd w:val="0"/>
        <w:spacing w:after="0" w:line="360" w:lineRule="auto"/>
        <w:jc w:val="both"/>
        <w:rPr>
          <w:rFonts w:ascii="Times New Roman" w:eastAsia="SimSun" w:hAnsi="Times New Roman" w:cs="Times New Roman"/>
          <w:color w:val="000000"/>
          <w:sz w:val="24"/>
          <w:szCs w:val="24"/>
          <w:lang w:val="en-IN" w:eastAsia="en-IN"/>
        </w:rPr>
      </w:pPr>
    </w:p>
    <w:p w:rsidR="006B08AC" w:rsidRPr="00E71156" w:rsidRDefault="00F6247C" w:rsidP="00727E19">
      <w:pPr>
        <w:pStyle w:val="ListParagraph"/>
        <w:spacing w:line="360" w:lineRule="auto"/>
        <w:ind w:left="90"/>
        <w:jc w:val="both"/>
        <w:rPr>
          <w:rFonts w:ascii="Times New Roman" w:hAnsi="Times New Roman" w:cs="Times New Roman"/>
          <w:b/>
          <w:sz w:val="24"/>
          <w:szCs w:val="24"/>
          <w:u w:val="single"/>
        </w:rPr>
      </w:pPr>
      <w:r w:rsidRPr="00E71156">
        <w:rPr>
          <w:rFonts w:ascii="Times New Roman" w:eastAsia="SimSun" w:hAnsi="Times New Roman" w:cs="Times New Roman"/>
          <w:b/>
          <w:bCs/>
          <w:color w:val="FFFFFF"/>
          <w:sz w:val="24"/>
          <w:szCs w:val="24"/>
          <w:lang w:val="en-IN" w:eastAsia="en-IN"/>
        </w:rPr>
        <w:lastRenderedPageBreak/>
        <w:t>T</w:t>
      </w:r>
      <w:r w:rsidR="00B875CE" w:rsidRPr="00E71156">
        <w:rPr>
          <w:rFonts w:ascii="Times New Roman" w:eastAsia="SimSun" w:hAnsi="Times New Roman" w:cs="Times New Roman"/>
          <w:b/>
          <w:bCs/>
          <w:color w:val="FFFFFF"/>
          <w:sz w:val="24"/>
          <w:szCs w:val="24"/>
          <w:lang w:val="en-IN" w:eastAsia="en-IN"/>
        </w:rPr>
        <w:t>8</w:t>
      </w:r>
      <w:r w:rsidR="006B08AC" w:rsidRPr="00E71156">
        <w:rPr>
          <w:rFonts w:ascii="Times New Roman" w:hAnsi="Times New Roman" w:cs="Times New Roman"/>
          <w:b/>
          <w:sz w:val="24"/>
          <w:szCs w:val="24"/>
          <w:u w:val="single"/>
        </w:rPr>
        <w:t>INDEX</w:t>
      </w:r>
    </w:p>
    <w:tbl>
      <w:tblPr>
        <w:tblStyle w:val="TableGrid"/>
        <w:tblW w:w="0" w:type="auto"/>
        <w:tblInd w:w="90" w:type="dxa"/>
        <w:tblLook w:val="04A0"/>
      </w:tblPr>
      <w:tblGrid>
        <w:gridCol w:w="9146"/>
      </w:tblGrid>
      <w:tr w:rsidR="00B656B4" w:rsidRPr="003E322D" w:rsidTr="00B656B4">
        <w:trPr>
          <w:trHeight w:val="272"/>
        </w:trPr>
        <w:tc>
          <w:tcPr>
            <w:tcW w:w="0" w:type="auto"/>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p>
          <w:tbl>
            <w:tblPr>
              <w:tblW w:w="0" w:type="auto"/>
              <w:tblBorders>
                <w:top w:val="nil"/>
                <w:left w:val="nil"/>
                <w:bottom w:val="nil"/>
                <w:right w:val="nil"/>
              </w:tblBorders>
              <w:tblLook w:val="0000"/>
            </w:tblPr>
            <w:tblGrid>
              <w:gridCol w:w="1675"/>
              <w:gridCol w:w="2053"/>
              <w:gridCol w:w="5182"/>
            </w:tblGrid>
            <w:tr w:rsidR="00B656B4" w:rsidRPr="003E322D" w:rsidTr="00B656B4">
              <w:trPr>
                <w:trHeight w:val="147"/>
              </w:trPr>
              <w:tc>
                <w:tcPr>
                  <w:tcW w:w="1675" w:type="dxa"/>
                  <w:tcBorders>
                    <w:top w:val="single" w:sz="8"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b/>
                      <w:bCs/>
                      <w:color w:val="000000"/>
                      <w:sz w:val="18"/>
                      <w:szCs w:val="18"/>
                      <w:lang w:val="en-IN" w:eastAsia="en-IN"/>
                    </w:rPr>
                    <w:t>INDEXS.</w:t>
                  </w:r>
                  <w:r w:rsidR="007A195A" w:rsidRPr="003E322D">
                    <w:rPr>
                      <w:rFonts w:ascii="Times New Roman" w:eastAsia="SimSun" w:hAnsi="Times New Roman" w:cs="Times New Roman"/>
                      <w:b/>
                      <w:bCs/>
                      <w:color w:val="000000"/>
                      <w:sz w:val="18"/>
                      <w:szCs w:val="18"/>
                      <w:lang w:val="en-IN" w:eastAsia="en-IN"/>
                    </w:rPr>
                    <w:t xml:space="preserve"> </w:t>
                  </w:r>
                  <w:r w:rsidRPr="003E322D">
                    <w:rPr>
                      <w:rFonts w:ascii="Times New Roman" w:eastAsia="SimSun" w:hAnsi="Times New Roman" w:cs="Times New Roman"/>
                      <w:b/>
                      <w:bCs/>
                      <w:color w:val="000000"/>
                      <w:sz w:val="18"/>
                      <w:szCs w:val="18"/>
                      <w:lang w:val="en-IN" w:eastAsia="en-IN"/>
                    </w:rPr>
                    <w:t>No.</w:t>
                  </w:r>
                </w:p>
              </w:tc>
              <w:tc>
                <w:tcPr>
                  <w:tcW w:w="2053" w:type="dxa"/>
                  <w:tcBorders>
                    <w:top w:val="single" w:sz="8"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b/>
                      <w:bCs/>
                      <w:color w:val="000000"/>
                      <w:sz w:val="18"/>
                      <w:szCs w:val="18"/>
                      <w:lang w:val="en-IN" w:eastAsia="en-IN"/>
                    </w:rPr>
                    <w:t>Form No.</w:t>
                  </w:r>
                </w:p>
              </w:tc>
              <w:tc>
                <w:tcPr>
                  <w:tcW w:w="5182" w:type="dxa"/>
                  <w:tcBorders>
                    <w:top w:val="single" w:sz="8"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b/>
                      <w:bCs/>
                      <w:color w:val="000000"/>
                      <w:sz w:val="18"/>
                      <w:szCs w:val="18"/>
                      <w:lang w:val="en-IN" w:eastAsia="en-IN"/>
                    </w:rPr>
                    <w:t>Particulars</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b/>
                      <w:bCs/>
                      <w:color w:val="000000"/>
                      <w:sz w:val="18"/>
                      <w:szCs w:val="18"/>
                      <w:lang w:val="en-IN" w:eastAsia="en-IN"/>
                    </w:rPr>
                    <w:t>1</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b/>
                      <w:bCs/>
                      <w:color w:val="000000"/>
                      <w:sz w:val="18"/>
                      <w:szCs w:val="18"/>
                      <w:lang w:val="en-IN" w:eastAsia="en-IN"/>
                    </w:rPr>
                    <w:t>2</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b/>
                      <w:bCs/>
                      <w:color w:val="000000"/>
                      <w:sz w:val="18"/>
                      <w:szCs w:val="18"/>
                      <w:lang w:val="en-IN" w:eastAsia="en-IN"/>
                    </w:rPr>
                    <w:t>3</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1.1</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Summary of Aggregate Revenue Requirement</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2.1</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Revenue from Sale of Power</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2.2</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4</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2.3</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5</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2.4</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Other Income</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6</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2.5</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7</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2.6</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8</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2.7</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Consumer Contribution, Capital Subsidy and Grants</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9</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3.1</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Power Purchase Expenses</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10</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3.2</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11</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3.3</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12</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3.4</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Operations and Maintenance Expenses</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13</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3.4(a)</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Employee Expenses</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14</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3.4(b)</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Administrative &amp; General Expenses</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15</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3.4(c)</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Repair &amp; Maintenance Expenses</w:t>
                  </w:r>
                </w:p>
              </w:tc>
            </w:tr>
            <w:tr w:rsidR="00B656B4" w:rsidRPr="003E322D" w:rsidTr="00B656B4">
              <w:trPr>
                <w:trHeight w:val="132"/>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16</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3.5</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Fixed assets &amp; depreciation</w:t>
                  </w:r>
                </w:p>
              </w:tc>
            </w:tr>
            <w:tr w:rsidR="00B656B4" w:rsidRPr="003E322D" w:rsidTr="00B656B4">
              <w:trPr>
                <w:trHeight w:val="15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17</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3.6(a)</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18</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3.6(b)</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19</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3.6(c)</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20</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3.7</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21</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3.8</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Return on Equity/Return on Net Fixed Assets</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22</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3.9</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23</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4.1</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Project-wise / Scheme-wise Capital Expenditure</w:t>
                  </w:r>
                </w:p>
              </w:tc>
            </w:tr>
            <w:tr w:rsidR="00B656B4" w:rsidRPr="003E322D" w:rsidTr="00B656B4">
              <w:trPr>
                <w:trHeight w:val="143"/>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24</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4.2</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Consolidated report on additions to Fixed Assets during the year</w:t>
                  </w:r>
                </w:p>
              </w:tc>
            </w:tr>
            <w:tr w:rsidR="00B656B4" w:rsidRPr="003E322D" w:rsidTr="00B656B4">
              <w:trPr>
                <w:trHeight w:val="138"/>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25</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4.3</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26</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5.1</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Consumer category wise existing Tariff</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27</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5.2</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28</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5.3</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29</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6.1</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Improvement in performance</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30</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6.2</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31</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7.1</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Category-wise Sales</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32</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7.2</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Distribution Losses</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33</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7.3</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Collection Efficiency</w:t>
                  </w:r>
                </w:p>
              </w:tc>
            </w:tr>
            <w:tr w:rsidR="00B656B4" w:rsidRPr="003E322D" w:rsidTr="00B656B4">
              <w:trPr>
                <w:trHeight w:val="137"/>
              </w:trPr>
              <w:tc>
                <w:tcPr>
                  <w:tcW w:w="1675" w:type="dxa"/>
                  <w:tcBorders>
                    <w:top w:val="single" w:sz="4" w:space="0" w:color="auto"/>
                    <w:left w:val="single" w:sz="8"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34</w:t>
                  </w:r>
                </w:p>
              </w:tc>
              <w:tc>
                <w:tcPr>
                  <w:tcW w:w="2053" w:type="dxa"/>
                  <w:tcBorders>
                    <w:top w:val="single" w:sz="4" w:space="0" w:color="auto"/>
                    <w:left w:val="single" w:sz="4" w:space="0" w:color="auto"/>
                    <w:bottom w:val="single" w:sz="4"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8</w:t>
                  </w:r>
                </w:p>
              </w:tc>
              <w:tc>
                <w:tcPr>
                  <w:tcW w:w="5182"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Deviation Analysis</w:t>
                  </w:r>
                </w:p>
              </w:tc>
            </w:tr>
            <w:tr w:rsidR="00B656B4" w:rsidRPr="003E322D" w:rsidTr="00B656B4">
              <w:trPr>
                <w:trHeight w:val="137"/>
              </w:trPr>
              <w:tc>
                <w:tcPr>
                  <w:tcW w:w="1675" w:type="dxa"/>
                  <w:tcBorders>
                    <w:top w:val="single" w:sz="4" w:space="0" w:color="auto"/>
                    <w:left w:val="single" w:sz="8" w:space="0" w:color="auto"/>
                    <w:bottom w:val="single" w:sz="8"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35</w:t>
                  </w:r>
                </w:p>
              </w:tc>
              <w:tc>
                <w:tcPr>
                  <w:tcW w:w="2053" w:type="dxa"/>
                  <w:tcBorders>
                    <w:top w:val="single" w:sz="4" w:space="0" w:color="auto"/>
                    <w:left w:val="single" w:sz="4" w:space="0" w:color="auto"/>
                    <w:bottom w:val="single" w:sz="8" w:space="0" w:color="auto"/>
                    <w:right w:val="single" w:sz="4"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9</w:t>
                  </w:r>
                </w:p>
              </w:tc>
              <w:tc>
                <w:tcPr>
                  <w:tcW w:w="5182" w:type="dxa"/>
                  <w:tcBorders>
                    <w:top w:val="single" w:sz="4" w:space="0" w:color="auto"/>
                    <w:left w:val="single" w:sz="4" w:space="0" w:color="auto"/>
                    <w:bottom w:val="single" w:sz="8"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NA</w:t>
                  </w:r>
                </w:p>
              </w:tc>
            </w:tr>
          </w:tbl>
          <w:p w:rsidR="00B656B4" w:rsidRPr="003E322D" w:rsidRDefault="00B656B4" w:rsidP="00727E19">
            <w:pPr>
              <w:pStyle w:val="ListParagraph"/>
              <w:spacing w:line="360" w:lineRule="auto"/>
              <w:ind w:left="0"/>
              <w:jc w:val="both"/>
              <w:rPr>
                <w:rFonts w:ascii="Times New Roman" w:hAnsi="Times New Roman" w:cs="Times New Roman"/>
                <w:b/>
                <w:sz w:val="18"/>
                <w:szCs w:val="18"/>
                <w:u w:val="single"/>
              </w:rPr>
            </w:pPr>
          </w:p>
        </w:tc>
      </w:tr>
    </w:tbl>
    <w:p w:rsidR="006B08AC" w:rsidRPr="003E322D" w:rsidRDefault="006B08AC" w:rsidP="00727E19">
      <w:pPr>
        <w:pStyle w:val="ListParagraph"/>
        <w:spacing w:line="360" w:lineRule="auto"/>
        <w:ind w:left="90"/>
        <w:jc w:val="both"/>
        <w:rPr>
          <w:rFonts w:ascii="Times New Roman" w:hAnsi="Times New Roman" w:cs="Times New Roman"/>
          <w:b/>
          <w:sz w:val="18"/>
          <w:szCs w:val="18"/>
          <w:u w:val="single"/>
        </w:rPr>
      </w:pPr>
    </w:p>
    <w:tbl>
      <w:tblPr>
        <w:tblW w:w="0" w:type="auto"/>
        <w:tblBorders>
          <w:top w:val="nil"/>
          <w:left w:val="nil"/>
          <w:bottom w:val="nil"/>
          <w:right w:val="nil"/>
        </w:tblBorders>
        <w:tblLayout w:type="fixed"/>
        <w:tblLook w:val="0000"/>
      </w:tblPr>
      <w:tblGrid>
        <w:gridCol w:w="867"/>
        <w:gridCol w:w="1725"/>
        <w:gridCol w:w="7045"/>
      </w:tblGrid>
      <w:tr w:rsidR="008C2866" w:rsidRPr="003E322D" w:rsidTr="008C2866">
        <w:trPr>
          <w:trHeight w:val="147"/>
        </w:trPr>
        <w:tc>
          <w:tcPr>
            <w:tcW w:w="9637" w:type="dxa"/>
            <w:gridSpan w:val="3"/>
            <w:tcBorders>
              <w:top w:val="single" w:sz="8" w:space="0" w:color="auto"/>
              <w:left w:val="single" w:sz="8" w:space="0" w:color="auto"/>
              <w:bottom w:val="single" w:sz="4" w:space="0" w:color="auto"/>
              <w:right w:val="single" w:sz="8" w:space="0" w:color="auto"/>
            </w:tcBorders>
            <w:vAlign w:val="center"/>
          </w:tcPr>
          <w:p w:rsidR="008C2866" w:rsidRPr="003E322D" w:rsidRDefault="008C2866"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Other Information/Documents</w:t>
            </w:r>
          </w:p>
        </w:tc>
      </w:tr>
      <w:tr w:rsidR="00B656B4" w:rsidRPr="003E322D">
        <w:trPr>
          <w:trHeight w:val="137"/>
        </w:trPr>
        <w:tc>
          <w:tcPr>
            <w:tcW w:w="867" w:type="dxa"/>
            <w:tcBorders>
              <w:top w:val="single" w:sz="4" w:space="0" w:color="auto"/>
              <w:left w:val="single" w:sz="8" w:space="0" w:color="auto"/>
              <w:bottom w:val="single" w:sz="4" w:space="0" w:color="auto"/>
              <w:right w:val="single" w:sz="4" w:space="0" w:color="auto"/>
            </w:tcBorders>
            <w:vAlign w:val="center"/>
          </w:tcPr>
          <w:p w:rsidR="00B656B4" w:rsidRPr="003E322D" w:rsidRDefault="008C2866"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1</w:t>
            </w:r>
          </w:p>
        </w:tc>
        <w:tc>
          <w:tcPr>
            <w:tcW w:w="1725" w:type="dxa"/>
            <w:tcBorders>
              <w:top w:val="single" w:sz="4" w:space="0" w:color="auto"/>
              <w:left w:val="single" w:sz="4" w:space="0" w:color="auto"/>
              <w:bottom w:val="single" w:sz="4" w:space="0" w:color="auto"/>
              <w:right w:val="single" w:sz="4" w:space="0" w:color="auto"/>
            </w:tcBorders>
            <w:vAlign w:val="center"/>
          </w:tcPr>
          <w:p w:rsidR="00B656B4" w:rsidRPr="003E322D" w:rsidRDefault="008C2866"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P&amp;L</w:t>
            </w:r>
          </w:p>
        </w:tc>
        <w:tc>
          <w:tcPr>
            <w:tcW w:w="7045"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p>
        </w:tc>
      </w:tr>
      <w:tr w:rsidR="00B656B4" w:rsidRPr="003E322D">
        <w:trPr>
          <w:trHeight w:val="132"/>
        </w:trPr>
        <w:tc>
          <w:tcPr>
            <w:tcW w:w="867" w:type="dxa"/>
            <w:tcBorders>
              <w:top w:val="single" w:sz="4" w:space="0" w:color="auto"/>
              <w:left w:val="single" w:sz="8" w:space="0" w:color="auto"/>
              <w:bottom w:val="single" w:sz="4" w:space="0" w:color="auto"/>
              <w:right w:val="single" w:sz="4" w:space="0" w:color="auto"/>
            </w:tcBorders>
            <w:vAlign w:val="center"/>
          </w:tcPr>
          <w:p w:rsidR="00B656B4" w:rsidRPr="003E322D" w:rsidRDefault="008C2866"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2</w:t>
            </w:r>
          </w:p>
        </w:tc>
        <w:tc>
          <w:tcPr>
            <w:tcW w:w="1725" w:type="dxa"/>
            <w:tcBorders>
              <w:top w:val="single" w:sz="4" w:space="0" w:color="auto"/>
              <w:left w:val="single" w:sz="4" w:space="0" w:color="auto"/>
              <w:bottom w:val="single" w:sz="4" w:space="0" w:color="auto"/>
              <w:right w:val="single" w:sz="4" w:space="0" w:color="auto"/>
            </w:tcBorders>
            <w:vAlign w:val="center"/>
          </w:tcPr>
          <w:p w:rsidR="00B656B4" w:rsidRPr="003E322D" w:rsidRDefault="008C2866"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BS</w:t>
            </w:r>
          </w:p>
        </w:tc>
        <w:tc>
          <w:tcPr>
            <w:tcW w:w="7045"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p>
        </w:tc>
      </w:tr>
      <w:tr w:rsidR="00B656B4" w:rsidRPr="003E322D">
        <w:trPr>
          <w:trHeight w:val="132"/>
        </w:trPr>
        <w:tc>
          <w:tcPr>
            <w:tcW w:w="867" w:type="dxa"/>
            <w:tcBorders>
              <w:top w:val="single" w:sz="4" w:space="0" w:color="auto"/>
              <w:left w:val="single" w:sz="8" w:space="0" w:color="auto"/>
              <w:bottom w:val="single" w:sz="4" w:space="0" w:color="auto"/>
              <w:right w:val="single" w:sz="4" w:space="0" w:color="auto"/>
            </w:tcBorders>
            <w:vAlign w:val="center"/>
          </w:tcPr>
          <w:p w:rsidR="00B656B4" w:rsidRPr="003E322D" w:rsidRDefault="008C2866"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3</w:t>
            </w:r>
          </w:p>
        </w:tc>
        <w:tc>
          <w:tcPr>
            <w:tcW w:w="1725" w:type="dxa"/>
            <w:tcBorders>
              <w:top w:val="single" w:sz="4" w:space="0" w:color="auto"/>
              <w:left w:val="single" w:sz="4" w:space="0" w:color="auto"/>
              <w:bottom w:val="single" w:sz="4" w:space="0" w:color="auto"/>
              <w:right w:val="single" w:sz="4" w:space="0" w:color="auto"/>
            </w:tcBorders>
            <w:vAlign w:val="center"/>
          </w:tcPr>
          <w:p w:rsidR="00B656B4" w:rsidRPr="003E322D" w:rsidRDefault="008C2866"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r w:rsidRPr="003E322D">
              <w:rPr>
                <w:rFonts w:ascii="Times New Roman" w:eastAsia="SimSun" w:hAnsi="Times New Roman" w:cs="Times New Roman"/>
                <w:color w:val="000000"/>
                <w:sz w:val="18"/>
                <w:szCs w:val="18"/>
                <w:lang w:val="en-IN" w:eastAsia="en-IN"/>
              </w:rPr>
              <w:t>Form D CF</w:t>
            </w:r>
          </w:p>
        </w:tc>
        <w:tc>
          <w:tcPr>
            <w:tcW w:w="7045" w:type="dxa"/>
            <w:tcBorders>
              <w:top w:val="single" w:sz="4" w:space="0" w:color="auto"/>
              <w:left w:val="single" w:sz="4" w:space="0" w:color="auto"/>
              <w:bottom w:val="single" w:sz="4" w:space="0" w:color="auto"/>
              <w:right w:val="single" w:sz="8" w:space="0" w:color="auto"/>
            </w:tcBorders>
            <w:vAlign w:val="center"/>
          </w:tcPr>
          <w:p w:rsidR="00B656B4" w:rsidRPr="003E322D" w:rsidRDefault="00B656B4" w:rsidP="00727E19">
            <w:pPr>
              <w:autoSpaceDE w:val="0"/>
              <w:autoSpaceDN w:val="0"/>
              <w:adjustRightInd w:val="0"/>
              <w:spacing w:after="0" w:line="360" w:lineRule="auto"/>
              <w:jc w:val="both"/>
              <w:rPr>
                <w:rFonts w:ascii="Times New Roman" w:eastAsia="SimSun" w:hAnsi="Times New Roman" w:cs="Times New Roman"/>
                <w:color w:val="000000"/>
                <w:sz w:val="18"/>
                <w:szCs w:val="18"/>
                <w:lang w:val="en-IN" w:eastAsia="en-IN"/>
              </w:rPr>
            </w:pPr>
          </w:p>
        </w:tc>
      </w:tr>
    </w:tbl>
    <w:p w:rsidR="006B08AC" w:rsidRPr="00E71156" w:rsidRDefault="006B08AC" w:rsidP="00727E19">
      <w:pPr>
        <w:pStyle w:val="ListParagraph"/>
        <w:spacing w:line="360" w:lineRule="auto"/>
        <w:ind w:left="90"/>
        <w:jc w:val="both"/>
        <w:rPr>
          <w:rFonts w:ascii="Times New Roman" w:hAnsi="Times New Roman" w:cs="Times New Roman"/>
          <w:b/>
          <w:sz w:val="24"/>
          <w:szCs w:val="24"/>
          <w:u w:val="single"/>
        </w:rPr>
      </w:pPr>
    </w:p>
    <w:p w:rsidR="0060013E" w:rsidRPr="00E71156" w:rsidRDefault="003708F0" w:rsidP="00E71156">
      <w:pPr>
        <w:pStyle w:val="ListParagraph"/>
        <w:numPr>
          <w:ilvl w:val="0"/>
          <w:numId w:val="13"/>
        </w:numPr>
        <w:spacing w:line="360" w:lineRule="auto"/>
        <w:ind w:left="840"/>
        <w:jc w:val="both"/>
        <w:rPr>
          <w:rFonts w:ascii="Times New Roman" w:hAnsi="Times New Roman" w:cs="Times New Roman"/>
          <w:sz w:val="24"/>
          <w:szCs w:val="24"/>
        </w:rPr>
      </w:pPr>
      <w:r w:rsidRPr="00E71156">
        <w:rPr>
          <w:rFonts w:ascii="Times New Roman" w:hAnsi="Times New Roman" w:cs="Times New Roman"/>
          <w:b/>
          <w:bCs/>
          <w:sz w:val="24"/>
          <w:szCs w:val="24"/>
          <w:u w:val="single"/>
        </w:rPr>
        <w:t>Prayer</w:t>
      </w:r>
    </w:p>
    <w:p w:rsidR="0060013E" w:rsidRPr="00E71156" w:rsidRDefault="003708F0" w:rsidP="00727E19">
      <w:pPr>
        <w:spacing w:line="360" w:lineRule="auto"/>
        <w:ind w:left="720" w:hanging="720"/>
        <w:jc w:val="both"/>
        <w:rPr>
          <w:rFonts w:ascii="Times New Roman" w:hAnsi="Times New Roman" w:cs="Times New Roman"/>
          <w:sz w:val="24"/>
          <w:szCs w:val="24"/>
        </w:rPr>
      </w:pPr>
      <w:r w:rsidRPr="00E71156">
        <w:rPr>
          <w:rFonts w:ascii="Times New Roman" w:hAnsi="Times New Roman" w:cs="Times New Roman"/>
          <w:sz w:val="24"/>
          <w:szCs w:val="24"/>
        </w:rPr>
        <w:t xml:space="preserve">   The TCED </w:t>
      </w:r>
      <w:r w:rsidR="00DE790A" w:rsidRPr="00E71156">
        <w:rPr>
          <w:rFonts w:ascii="Times New Roman" w:hAnsi="Times New Roman" w:cs="Times New Roman"/>
          <w:sz w:val="24"/>
          <w:szCs w:val="24"/>
        </w:rPr>
        <w:t>humbly requests before</w:t>
      </w:r>
      <w:r w:rsidRPr="00E71156">
        <w:rPr>
          <w:rFonts w:ascii="Times New Roman" w:hAnsi="Times New Roman" w:cs="Times New Roman"/>
          <w:sz w:val="24"/>
          <w:szCs w:val="24"/>
        </w:rPr>
        <w:t xml:space="preserve"> the Honorable Commission t</w:t>
      </w:r>
      <w:r w:rsidR="00DE790A" w:rsidRPr="00E71156">
        <w:rPr>
          <w:rFonts w:ascii="Times New Roman" w:hAnsi="Times New Roman" w:cs="Times New Roman"/>
          <w:sz w:val="24"/>
          <w:szCs w:val="24"/>
        </w:rPr>
        <w:t>hat:</w:t>
      </w:r>
    </w:p>
    <w:p w:rsidR="0060013E" w:rsidRPr="00E71156" w:rsidRDefault="00DE790A" w:rsidP="00727E19">
      <w:pPr>
        <w:pStyle w:val="ListParagraph"/>
        <w:numPr>
          <w:ilvl w:val="2"/>
          <w:numId w:val="4"/>
        </w:num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 xml:space="preserve">Truing Up of Expenses and Revenue </w:t>
      </w:r>
      <w:r w:rsidR="003708F0" w:rsidRPr="00E71156">
        <w:rPr>
          <w:rFonts w:ascii="Times New Roman" w:hAnsi="Times New Roman" w:cs="Times New Roman"/>
          <w:sz w:val="24"/>
          <w:szCs w:val="24"/>
        </w:rPr>
        <w:t>for</w:t>
      </w:r>
      <w:r w:rsidRPr="00E71156">
        <w:rPr>
          <w:rFonts w:ascii="Times New Roman" w:hAnsi="Times New Roman" w:cs="Times New Roman"/>
          <w:sz w:val="24"/>
          <w:szCs w:val="24"/>
        </w:rPr>
        <w:t xml:space="preserve"> the</w:t>
      </w:r>
      <w:r w:rsidR="003708F0" w:rsidRPr="00E71156">
        <w:rPr>
          <w:rFonts w:ascii="Times New Roman" w:hAnsi="Times New Roman" w:cs="Times New Roman"/>
          <w:sz w:val="24"/>
          <w:szCs w:val="24"/>
        </w:rPr>
        <w:t xml:space="preserve"> FY </w:t>
      </w:r>
      <w:r w:rsidR="00286F37" w:rsidRPr="00E71156">
        <w:rPr>
          <w:rFonts w:ascii="Times New Roman" w:hAnsi="Times New Roman" w:cs="Times New Roman"/>
          <w:sz w:val="24"/>
          <w:szCs w:val="24"/>
        </w:rPr>
        <w:t>202</w:t>
      </w:r>
      <w:r w:rsidR="00240399" w:rsidRPr="00E71156">
        <w:rPr>
          <w:rFonts w:ascii="Times New Roman" w:hAnsi="Times New Roman" w:cs="Times New Roman"/>
          <w:sz w:val="24"/>
          <w:szCs w:val="24"/>
        </w:rPr>
        <w:t>2</w:t>
      </w:r>
      <w:r w:rsidR="00286F37" w:rsidRPr="00E71156">
        <w:rPr>
          <w:rFonts w:ascii="Times New Roman" w:hAnsi="Times New Roman" w:cs="Times New Roman"/>
          <w:sz w:val="24"/>
          <w:szCs w:val="24"/>
        </w:rPr>
        <w:t>-2</w:t>
      </w:r>
      <w:r w:rsidR="00240399" w:rsidRPr="00E71156">
        <w:rPr>
          <w:rFonts w:ascii="Times New Roman" w:hAnsi="Times New Roman" w:cs="Times New Roman"/>
          <w:sz w:val="24"/>
          <w:szCs w:val="24"/>
        </w:rPr>
        <w:t>3</w:t>
      </w:r>
      <w:r w:rsidRPr="00E71156">
        <w:rPr>
          <w:rFonts w:ascii="Times New Roman" w:hAnsi="Times New Roman" w:cs="Times New Roman"/>
          <w:sz w:val="24"/>
          <w:szCs w:val="24"/>
        </w:rPr>
        <w:t xml:space="preserve"> may kindly be approved </w:t>
      </w:r>
      <w:r w:rsidR="00240399" w:rsidRPr="00E71156">
        <w:rPr>
          <w:rFonts w:ascii="Times New Roman" w:hAnsi="Times New Roman" w:cs="Times New Roman"/>
          <w:sz w:val="24"/>
          <w:szCs w:val="24"/>
        </w:rPr>
        <w:t>in view of the caution taken by TCED for carrying out the functions as a public utility.</w:t>
      </w:r>
    </w:p>
    <w:p w:rsidR="0060013E" w:rsidRPr="00E71156" w:rsidRDefault="003708F0" w:rsidP="00727E19">
      <w:pPr>
        <w:pStyle w:val="ListParagraph"/>
        <w:numPr>
          <w:ilvl w:val="2"/>
          <w:numId w:val="4"/>
        </w:num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Approve the</w:t>
      </w:r>
      <w:r w:rsidR="00240399" w:rsidRPr="00E71156">
        <w:rPr>
          <w:rFonts w:ascii="Times New Roman" w:hAnsi="Times New Roman" w:cs="Times New Roman"/>
          <w:sz w:val="24"/>
          <w:szCs w:val="24"/>
        </w:rPr>
        <w:t xml:space="preserve"> </w:t>
      </w:r>
      <w:r w:rsidR="00AD5593" w:rsidRPr="00E71156">
        <w:rPr>
          <w:rFonts w:ascii="Times New Roman" w:hAnsi="Times New Roman" w:cs="Times New Roman"/>
          <w:sz w:val="24"/>
          <w:szCs w:val="24"/>
        </w:rPr>
        <w:t>Deficit</w:t>
      </w:r>
      <w:r w:rsidR="00AB0162" w:rsidRPr="00E71156">
        <w:rPr>
          <w:rFonts w:ascii="Times New Roman" w:hAnsi="Times New Roman" w:cs="Times New Roman"/>
          <w:sz w:val="24"/>
          <w:szCs w:val="24"/>
        </w:rPr>
        <w:t xml:space="preserve"> </w:t>
      </w:r>
      <w:r w:rsidR="00386719" w:rsidRPr="00E71156">
        <w:rPr>
          <w:rFonts w:ascii="Times New Roman" w:hAnsi="Times New Roman" w:cs="Times New Roman"/>
          <w:sz w:val="24"/>
          <w:szCs w:val="24"/>
        </w:rPr>
        <w:t xml:space="preserve">of Rs. </w:t>
      </w:r>
      <w:r w:rsidR="006E550B">
        <w:rPr>
          <w:rFonts w:ascii="Times New Roman" w:hAnsi="Times New Roman" w:cs="Times New Roman"/>
          <w:sz w:val="24"/>
          <w:szCs w:val="24"/>
        </w:rPr>
        <w:t>14.07</w:t>
      </w:r>
      <w:r w:rsidR="00F262A4" w:rsidRPr="00E71156">
        <w:rPr>
          <w:rFonts w:ascii="Times New Roman" w:hAnsi="Times New Roman" w:cs="Times New Roman"/>
          <w:sz w:val="24"/>
          <w:szCs w:val="24"/>
        </w:rPr>
        <w:t xml:space="preserve">lakhs </w:t>
      </w:r>
      <w:r w:rsidR="00AB0162" w:rsidRPr="00E71156">
        <w:rPr>
          <w:rFonts w:ascii="Times New Roman" w:hAnsi="Times New Roman" w:cs="Times New Roman"/>
          <w:sz w:val="24"/>
          <w:szCs w:val="24"/>
        </w:rPr>
        <w:t xml:space="preserve">for FY </w:t>
      </w:r>
      <w:r w:rsidR="00286F37" w:rsidRPr="00E71156">
        <w:rPr>
          <w:rFonts w:ascii="Times New Roman" w:hAnsi="Times New Roman" w:cs="Times New Roman"/>
          <w:sz w:val="24"/>
          <w:szCs w:val="24"/>
        </w:rPr>
        <w:t>202</w:t>
      </w:r>
      <w:r w:rsidR="00240399" w:rsidRPr="00E71156">
        <w:rPr>
          <w:rFonts w:ascii="Times New Roman" w:hAnsi="Times New Roman" w:cs="Times New Roman"/>
          <w:sz w:val="24"/>
          <w:szCs w:val="24"/>
        </w:rPr>
        <w:t>2</w:t>
      </w:r>
      <w:r w:rsidR="00286F37" w:rsidRPr="00E71156">
        <w:rPr>
          <w:rFonts w:ascii="Times New Roman" w:hAnsi="Times New Roman" w:cs="Times New Roman"/>
          <w:sz w:val="24"/>
          <w:szCs w:val="24"/>
        </w:rPr>
        <w:t>-</w:t>
      </w:r>
      <w:r w:rsidR="00240399" w:rsidRPr="00E71156">
        <w:rPr>
          <w:rFonts w:ascii="Times New Roman" w:hAnsi="Times New Roman" w:cs="Times New Roman"/>
          <w:sz w:val="24"/>
          <w:szCs w:val="24"/>
        </w:rPr>
        <w:t>23</w:t>
      </w:r>
      <w:r w:rsidR="00D337C1" w:rsidRPr="00E71156">
        <w:rPr>
          <w:rFonts w:ascii="Times New Roman" w:hAnsi="Times New Roman" w:cs="Times New Roman"/>
          <w:sz w:val="24"/>
          <w:szCs w:val="24"/>
        </w:rPr>
        <w:t xml:space="preserve">  </w:t>
      </w:r>
    </w:p>
    <w:p w:rsidR="0060013E" w:rsidRPr="00E71156" w:rsidRDefault="003708F0" w:rsidP="00727E19">
      <w:pPr>
        <w:pStyle w:val="ListParagraph"/>
        <w:numPr>
          <w:ilvl w:val="2"/>
          <w:numId w:val="4"/>
        </w:num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Pass any other Order as the Honorable Commission may deem fit and appropriate under the circumstances of the case and in the interest of justice.</w:t>
      </w:r>
    </w:p>
    <w:p w:rsidR="0060013E" w:rsidRPr="00E71156" w:rsidRDefault="0060013E" w:rsidP="00727E19">
      <w:pPr>
        <w:spacing w:line="360" w:lineRule="auto"/>
        <w:jc w:val="both"/>
        <w:rPr>
          <w:rFonts w:ascii="Times New Roman" w:hAnsi="Times New Roman" w:cs="Times New Roman"/>
          <w:sz w:val="24"/>
          <w:szCs w:val="24"/>
        </w:rPr>
      </w:pPr>
    </w:p>
    <w:p w:rsidR="0060013E" w:rsidRPr="00E71156" w:rsidRDefault="0060013E" w:rsidP="00727E19">
      <w:pPr>
        <w:spacing w:line="360" w:lineRule="auto"/>
        <w:jc w:val="both"/>
        <w:rPr>
          <w:rFonts w:ascii="Times New Roman" w:hAnsi="Times New Roman" w:cs="Times New Roman"/>
          <w:sz w:val="24"/>
          <w:szCs w:val="24"/>
        </w:rPr>
      </w:pPr>
    </w:p>
    <w:p w:rsidR="00E52C1B" w:rsidRPr="00E71156" w:rsidRDefault="003708F0" w:rsidP="00727E19">
      <w:pPr>
        <w:tabs>
          <w:tab w:val="left" w:pos="7620"/>
        </w:tabs>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Place:</w:t>
      </w:r>
      <w:r w:rsidR="00386719" w:rsidRPr="00E71156">
        <w:rPr>
          <w:rFonts w:ascii="Times New Roman" w:hAnsi="Times New Roman" w:cs="Times New Roman"/>
          <w:sz w:val="24"/>
          <w:szCs w:val="24"/>
        </w:rPr>
        <w:t xml:space="preserve"> </w:t>
      </w:r>
      <w:r w:rsidR="00E9024C" w:rsidRPr="00E71156">
        <w:rPr>
          <w:rFonts w:ascii="Times New Roman" w:hAnsi="Times New Roman" w:cs="Times New Roman"/>
          <w:sz w:val="24"/>
          <w:szCs w:val="24"/>
        </w:rPr>
        <w:t>Thrissur</w:t>
      </w:r>
      <w:r w:rsidR="00E52C1B" w:rsidRPr="00E71156">
        <w:rPr>
          <w:rFonts w:ascii="Times New Roman" w:hAnsi="Times New Roman" w:cs="Times New Roman"/>
          <w:sz w:val="24"/>
          <w:szCs w:val="24"/>
        </w:rPr>
        <w:t xml:space="preserve">  </w:t>
      </w:r>
      <w:r w:rsidR="00386719" w:rsidRPr="00E71156">
        <w:rPr>
          <w:rFonts w:ascii="Times New Roman" w:hAnsi="Times New Roman" w:cs="Times New Roman"/>
          <w:sz w:val="24"/>
          <w:szCs w:val="24"/>
        </w:rPr>
        <w:t xml:space="preserve">                                                              </w:t>
      </w:r>
      <w:r w:rsidR="0089728C">
        <w:rPr>
          <w:rFonts w:ascii="Times New Roman" w:hAnsi="Times New Roman" w:cs="Times New Roman"/>
          <w:sz w:val="24"/>
          <w:szCs w:val="24"/>
        </w:rPr>
        <w:t xml:space="preserve">                            </w:t>
      </w:r>
      <w:r w:rsidR="00386719" w:rsidRPr="00E71156">
        <w:rPr>
          <w:rFonts w:ascii="Times New Roman" w:hAnsi="Times New Roman" w:cs="Times New Roman"/>
          <w:sz w:val="24"/>
          <w:szCs w:val="24"/>
        </w:rPr>
        <w:t xml:space="preserve">      </w:t>
      </w:r>
      <w:r w:rsidR="00E52C1B" w:rsidRPr="00E71156">
        <w:rPr>
          <w:rFonts w:ascii="Times New Roman" w:hAnsi="Times New Roman" w:cs="Times New Roman"/>
          <w:sz w:val="24"/>
          <w:szCs w:val="24"/>
        </w:rPr>
        <w:t xml:space="preserve">Signature of Petitioner    </w:t>
      </w:r>
    </w:p>
    <w:p w:rsidR="0060013E" w:rsidRPr="00E71156" w:rsidRDefault="003708F0" w:rsidP="00727E19">
      <w:pPr>
        <w:spacing w:line="360" w:lineRule="auto"/>
        <w:jc w:val="both"/>
        <w:rPr>
          <w:rFonts w:ascii="Times New Roman" w:hAnsi="Times New Roman" w:cs="Times New Roman"/>
          <w:sz w:val="24"/>
          <w:szCs w:val="24"/>
        </w:rPr>
      </w:pPr>
      <w:r w:rsidRPr="00E71156">
        <w:rPr>
          <w:rFonts w:ascii="Times New Roman" w:hAnsi="Times New Roman" w:cs="Times New Roman"/>
          <w:sz w:val="24"/>
          <w:szCs w:val="24"/>
        </w:rPr>
        <w:t>Dated:</w:t>
      </w:r>
      <w:r w:rsidR="006E550B">
        <w:rPr>
          <w:rFonts w:ascii="Times New Roman" w:hAnsi="Times New Roman" w:cs="Times New Roman"/>
          <w:sz w:val="24"/>
          <w:szCs w:val="24"/>
        </w:rPr>
        <w:t xml:space="preserve"> 27.11.2023</w:t>
      </w:r>
    </w:p>
    <w:sectPr w:rsidR="0060013E" w:rsidRPr="00E71156" w:rsidSect="00D8097F">
      <w:footerReference w:type="default" r:id="rId9"/>
      <w:pgSz w:w="12240" w:h="15840"/>
      <w:pgMar w:top="1440" w:right="1183" w:bottom="1440" w:left="1440" w:header="720" w:footer="252"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483" w:rsidRDefault="00D57483" w:rsidP="0060013E">
      <w:pPr>
        <w:spacing w:after="0" w:line="240" w:lineRule="auto"/>
      </w:pPr>
      <w:r>
        <w:separator/>
      </w:r>
    </w:p>
  </w:endnote>
  <w:endnote w:type="continuationSeparator" w:id="1">
    <w:p w:rsidR="00D57483" w:rsidRDefault="00D57483" w:rsidP="006001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82774"/>
    </w:sdtPr>
    <w:sdtContent>
      <w:p w:rsidR="00A55241" w:rsidRDefault="00A55241">
        <w:pPr>
          <w:pStyle w:val="Footer"/>
          <w:jc w:val="center"/>
        </w:pPr>
      </w:p>
      <w:p w:rsidR="00A55241" w:rsidRDefault="00A55241">
        <w:pPr>
          <w:pStyle w:val="Footer"/>
          <w:jc w:val="center"/>
        </w:pPr>
        <w:fldSimple w:instr=" PAGE   \* MERGEFORMAT ">
          <w:r w:rsidR="006E550B">
            <w:rPr>
              <w:noProof/>
            </w:rPr>
            <w:t>17</w:t>
          </w:r>
        </w:fldSimple>
      </w:p>
    </w:sdtContent>
  </w:sdt>
  <w:p w:rsidR="00A55241" w:rsidRDefault="00A552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483" w:rsidRDefault="00D57483" w:rsidP="0060013E">
      <w:pPr>
        <w:spacing w:after="0" w:line="240" w:lineRule="auto"/>
      </w:pPr>
      <w:r>
        <w:separator/>
      </w:r>
    </w:p>
  </w:footnote>
  <w:footnote w:type="continuationSeparator" w:id="1">
    <w:p w:rsidR="00D57483" w:rsidRDefault="00D57483" w:rsidP="006001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73F"/>
    <w:multiLevelType w:val="multilevel"/>
    <w:tmpl w:val="833AE930"/>
    <w:lvl w:ilvl="0">
      <w:start w:val="3"/>
      <w:numFmt w:val="decimal"/>
      <w:lvlText w:val="%1"/>
      <w:lvlJc w:val="left"/>
      <w:pPr>
        <w:ind w:left="360" w:hanging="360"/>
      </w:pPr>
      <w:rPr>
        <w:rFonts w:hint="default"/>
      </w:rPr>
    </w:lvl>
    <w:lvl w:ilvl="1">
      <w:start w:val="1"/>
      <w:numFmt w:val="decimal"/>
      <w:lvlText w:val="%1.%2"/>
      <w:lvlJc w:val="left"/>
      <w:pPr>
        <w:ind w:left="1560" w:hanging="36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1">
    <w:nsid w:val="07BF51F7"/>
    <w:multiLevelType w:val="multilevel"/>
    <w:tmpl w:val="7200CB2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555304"/>
    <w:multiLevelType w:val="hybridMultilevel"/>
    <w:tmpl w:val="0BE6E856"/>
    <w:lvl w:ilvl="0" w:tplc="09C89C7E">
      <w:start w:val="32"/>
      <w:numFmt w:val="bullet"/>
      <w:lvlText w:val="-"/>
      <w:lvlJc w:val="left"/>
      <w:pPr>
        <w:ind w:left="720" w:hanging="360"/>
      </w:pPr>
      <w:rPr>
        <w:rFonts w:ascii="Calibri" w:eastAsia="SimSun"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3F787B"/>
    <w:multiLevelType w:val="hybridMultilevel"/>
    <w:tmpl w:val="1F346E4C"/>
    <w:lvl w:ilvl="0" w:tplc="525CECAC">
      <w:start w:val="1"/>
      <w:numFmt w:val="decimal"/>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4">
    <w:nsid w:val="2BAF0F94"/>
    <w:multiLevelType w:val="multilevel"/>
    <w:tmpl w:val="9502155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30466B4"/>
    <w:multiLevelType w:val="multilevel"/>
    <w:tmpl w:val="330466B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631055A"/>
    <w:multiLevelType w:val="multilevel"/>
    <w:tmpl w:val="4631055A"/>
    <w:lvl w:ilvl="0">
      <w:start w:val="1"/>
      <w:numFmt w:val="decimal"/>
      <w:lvlText w:val="%1."/>
      <w:lvlJc w:val="left"/>
      <w:pPr>
        <w:ind w:left="990" w:hanging="720"/>
      </w:pPr>
      <w:rPr>
        <w:rFonts w:hint="default"/>
        <w:b/>
      </w:rPr>
    </w:lvl>
    <w:lvl w:ilvl="1">
      <w:start w:val="2"/>
      <w:numFmt w:val="decimal"/>
      <w:isLgl/>
      <w:lvlText w:val="%1.%2"/>
      <w:lvlJc w:val="left"/>
      <w:pPr>
        <w:ind w:left="690" w:hanging="420"/>
      </w:pPr>
      <w:rPr>
        <w:rFonts w:hint="default"/>
        <w:u w:val="none"/>
      </w:rPr>
    </w:lvl>
    <w:lvl w:ilvl="2">
      <w:start w:val="1"/>
      <w:numFmt w:val="decimal"/>
      <w:isLgl/>
      <w:lvlText w:val="%1.%2.%3"/>
      <w:lvlJc w:val="left"/>
      <w:pPr>
        <w:ind w:left="990" w:hanging="720"/>
      </w:pPr>
      <w:rPr>
        <w:rFonts w:hint="default"/>
        <w:u w:val="none"/>
      </w:rPr>
    </w:lvl>
    <w:lvl w:ilvl="3">
      <w:start w:val="1"/>
      <w:numFmt w:val="decimal"/>
      <w:isLgl/>
      <w:lvlText w:val="%1.%2.%3.%4"/>
      <w:lvlJc w:val="left"/>
      <w:pPr>
        <w:ind w:left="1350" w:hanging="1080"/>
      </w:pPr>
      <w:rPr>
        <w:rFonts w:hint="default"/>
        <w:u w:val="none"/>
      </w:rPr>
    </w:lvl>
    <w:lvl w:ilvl="4">
      <w:start w:val="1"/>
      <w:numFmt w:val="decimal"/>
      <w:isLgl/>
      <w:lvlText w:val="%1.%2.%3.%4.%5"/>
      <w:lvlJc w:val="left"/>
      <w:pPr>
        <w:ind w:left="1350" w:hanging="1080"/>
      </w:pPr>
      <w:rPr>
        <w:rFonts w:hint="default"/>
        <w:u w:val="none"/>
      </w:rPr>
    </w:lvl>
    <w:lvl w:ilvl="5">
      <w:start w:val="1"/>
      <w:numFmt w:val="decimal"/>
      <w:isLgl/>
      <w:lvlText w:val="%1.%2.%3.%4.%5.%6"/>
      <w:lvlJc w:val="left"/>
      <w:pPr>
        <w:ind w:left="1710" w:hanging="1440"/>
      </w:pPr>
      <w:rPr>
        <w:rFonts w:hint="default"/>
        <w:u w:val="none"/>
      </w:rPr>
    </w:lvl>
    <w:lvl w:ilvl="6">
      <w:start w:val="1"/>
      <w:numFmt w:val="decimal"/>
      <w:isLgl/>
      <w:lvlText w:val="%1.%2.%3.%4.%5.%6.%7"/>
      <w:lvlJc w:val="left"/>
      <w:pPr>
        <w:ind w:left="1710" w:hanging="1440"/>
      </w:pPr>
      <w:rPr>
        <w:rFonts w:hint="default"/>
        <w:u w:val="none"/>
      </w:rPr>
    </w:lvl>
    <w:lvl w:ilvl="7">
      <w:start w:val="1"/>
      <w:numFmt w:val="decimal"/>
      <w:isLgl/>
      <w:lvlText w:val="%1.%2.%3.%4.%5.%6.%7.%8"/>
      <w:lvlJc w:val="left"/>
      <w:pPr>
        <w:ind w:left="2070" w:hanging="1800"/>
      </w:pPr>
      <w:rPr>
        <w:rFonts w:hint="default"/>
        <w:u w:val="none"/>
      </w:rPr>
    </w:lvl>
    <w:lvl w:ilvl="8">
      <w:start w:val="1"/>
      <w:numFmt w:val="decimal"/>
      <w:isLgl/>
      <w:lvlText w:val="%1.%2.%3.%4.%5.%6.%7.%8.%9"/>
      <w:lvlJc w:val="left"/>
      <w:pPr>
        <w:ind w:left="2430" w:hanging="2160"/>
      </w:pPr>
      <w:rPr>
        <w:rFonts w:hint="default"/>
        <w:u w:val="none"/>
      </w:rPr>
    </w:lvl>
  </w:abstractNum>
  <w:abstractNum w:abstractNumId="7">
    <w:nsid w:val="479F6633"/>
    <w:multiLevelType w:val="hybridMultilevel"/>
    <w:tmpl w:val="0970494C"/>
    <w:lvl w:ilvl="0" w:tplc="6D9C631E">
      <w:start w:val="1"/>
      <w:numFmt w:val="lowerRoman"/>
      <w:lvlText w:val="(%1)"/>
      <w:lvlJc w:val="left"/>
      <w:pPr>
        <w:tabs>
          <w:tab w:val="num" w:pos="1080"/>
        </w:tabs>
        <w:ind w:left="1080" w:hanging="720"/>
      </w:pPr>
      <w:rPr>
        <w:rFonts w:ascii="Trebuchet MS" w:hAnsi="Trebuchet MS" w:cs="Times New Roman" w:hint="default"/>
      </w:rPr>
    </w:lvl>
    <w:lvl w:ilvl="1" w:tplc="77FA49F8">
      <w:start w:val="2"/>
      <w:numFmt w:val="lowerRoman"/>
      <w:lvlText w:val="(%2)"/>
      <w:lvlJc w:val="left"/>
      <w:pPr>
        <w:tabs>
          <w:tab w:val="num" w:pos="2880"/>
        </w:tabs>
        <w:ind w:left="2880" w:hanging="72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8">
    <w:nsid w:val="4A2B1B93"/>
    <w:multiLevelType w:val="multilevel"/>
    <w:tmpl w:val="F7C264C6"/>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52BD766A"/>
    <w:multiLevelType w:val="multilevel"/>
    <w:tmpl w:val="52BD766A"/>
    <w:lvl w:ilvl="0">
      <w:start w:val="1"/>
      <w:numFmt w:val="decimal"/>
      <w:lvlText w:val="%1."/>
      <w:lvlJc w:val="left"/>
      <w:pPr>
        <w:ind w:left="840" w:hanging="480"/>
      </w:pPr>
      <w:rPr>
        <w:rFonts w:hint="default"/>
        <w:u w:val="none"/>
      </w:rPr>
    </w:lvl>
    <w:lvl w:ilvl="1">
      <w:start w:val="2"/>
      <w:numFmt w:val="decimal"/>
      <w:isLgl/>
      <w:lvlText w:val="%1.%2"/>
      <w:lvlJc w:val="left"/>
      <w:pPr>
        <w:ind w:left="1365" w:hanging="765"/>
      </w:pPr>
      <w:rPr>
        <w:rFonts w:hint="default"/>
      </w:rPr>
    </w:lvl>
    <w:lvl w:ilvl="2">
      <w:start w:val="5"/>
      <w:numFmt w:val="decimal"/>
      <w:isLgl/>
      <w:lvlText w:val="%1.%2.%3"/>
      <w:lvlJc w:val="left"/>
      <w:pPr>
        <w:ind w:left="1605" w:hanging="765"/>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760" w:hanging="1440"/>
      </w:pPr>
      <w:rPr>
        <w:rFonts w:hint="default"/>
      </w:rPr>
    </w:lvl>
    <w:lvl w:ilvl="5">
      <w:start w:val="1"/>
      <w:numFmt w:val="decimal"/>
      <w:isLgl/>
      <w:lvlText w:val="%1.%2.%3.%4.%5.%6"/>
      <w:lvlJc w:val="left"/>
      <w:pPr>
        <w:ind w:left="3360" w:hanging="180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4200" w:hanging="2160"/>
      </w:pPr>
      <w:rPr>
        <w:rFonts w:hint="default"/>
      </w:rPr>
    </w:lvl>
    <w:lvl w:ilvl="8">
      <w:start w:val="1"/>
      <w:numFmt w:val="decimal"/>
      <w:isLgl/>
      <w:lvlText w:val="%1.%2.%3.%4.%5.%6.%7.%8.%9"/>
      <w:lvlJc w:val="left"/>
      <w:pPr>
        <w:ind w:left="4800" w:hanging="2520"/>
      </w:pPr>
      <w:rPr>
        <w:rFonts w:hint="default"/>
      </w:rPr>
    </w:lvl>
  </w:abstractNum>
  <w:abstractNum w:abstractNumId="10">
    <w:nsid w:val="5562606B"/>
    <w:multiLevelType w:val="hybridMultilevel"/>
    <w:tmpl w:val="7E2A83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5E66905"/>
    <w:multiLevelType w:val="multilevel"/>
    <w:tmpl w:val="65E669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6D0D60F5"/>
    <w:multiLevelType w:val="multilevel"/>
    <w:tmpl w:val="A3102EB4"/>
    <w:lvl w:ilvl="0">
      <w:start w:val="4"/>
      <w:numFmt w:val="decimal"/>
      <w:lvlText w:val="%1."/>
      <w:lvlJc w:val="left"/>
      <w:pPr>
        <w:ind w:left="1200" w:hanging="360"/>
      </w:pPr>
      <w:rPr>
        <w:rFonts w:hint="default"/>
      </w:rPr>
    </w:lvl>
    <w:lvl w:ilvl="1">
      <w:start w:val="3"/>
      <w:numFmt w:val="decimal"/>
      <w:isLgl/>
      <w:lvlText w:val="%1.%2"/>
      <w:lvlJc w:val="left"/>
      <w:pPr>
        <w:ind w:left="120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56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1920" w:hanging="1080"/>
      </w:pPr>
      <w:rPr>
        <w:rFonts w:hint="default"/>
      </w:rPr>
    </w:lvl>
    <w:lvl w:ilvl="6">
      <w:start w:val="1"/>
      <w:numFmt w:val="decimal"/>
      <w:isLgl/>
      <w:lvlText w:val="%1.%2.%3.%4.%5.%6.%7"/>
      <w:lvlJc w:val="left"/>
      <w:pPr>
        <w:ind w:left="228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640" w:hanging="1800"/>
      </w:pPr>
      <w:rPr>
        <w:rFonts w:hint="default"/>
      </w:rPr>
    </w:lvl>
  </w:abstractNum>
  <w:num w:numId="1">
    <w:abstractNumId w:val="6"/>
  </w:num>
  <w:num w:numId="2">
    <w:abstractNumId w:val="9"/>
  </w:num>
  <w:num w:numId="3">
    <w:abstractNumId w:val="5"/>
  </w:num>
  <w:num w:numId="4">
    <w:abstractNumId w:val="11"/>
  </w:num>
  <w:num w:numId="5">
    <w:abstractNumId w:val="0"/>
  </w:num>
  <w:num w:numId="6">
    <w:abstractNumId w:val="8"/>
  </w:num>
  <w:num w:numId="7">
    <w:abstractNumId w:val="2"/>
  </w:num>
  <w:num w:numId="8">
    <w:abstractNumId w:val="3"/>
  </w:num>
  <w:num w:numId="9">
    <w:abstractNumId w:val="10"/>
  </w:num>
  <w:num w:numId="10">
    <w:abstractNumId w:val="7"/>
  </w:num>
  <w:num w:numId="11">
    <w:abstractNumId w:val="1"/>
  </w:num>
  <w:num w:numId="12">
    <w:abstractNumId w:val="12"/>
  </w:num>
  <w:num w:numId="13">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1872"/>
  <w:drawingGridHorizontalSpacing w:val="110"/>
  <w:displayHorizontalDrawingGridEvery w:val="2"/>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
  <w:rsids>
    <w:rsidRoot w:val="005A2C31"/>
    <w:rsid w:val="00000F0A"/>
    <w:rsid w:val="000017B8"/>
    <w:rsid w:val="000019B6"/>
    <w:rsid w:val="00005B7F"/>
    <w:rsid w:val="00005C36"/>
    <w:rsid w:val="0000693B"/>
    <w:rsid w:val="00006CEB"/>
    <w:rsid w:val="00010B5E"/>
    <w:rsid w:val="00011305"/>
    <w:rsid w:val="000121EE"/>
    <w:rsid w:val="00012717"/>
    <w:rsid w:val="00012CE9"/>
    <w:rsid w:val="00013AC0"/>
    <w:rsid w:val="00014C0C"/>
    <w:rsid w:val="0001612E"/>
    <w:rsid w:val="00017A4E"/>
    <w:rsid w:val="00022EEB"/>
    <w:rsid w:val="00023A0F"/>
    <w:rsid w:val="00024360"/>
    <w:rsid w:val="00024C9E"/>
    <w:rsid w:val="00025E0F"/>
    <w:rsid w:val="000261F8"/>
    <w:rsid w:val="00026BCC"/>
    <w:rsid w:val="00027C49"/>
    <w:rsid w:val="000318EA"/>
    <w:rsid w:val="0003245A"/>
    <w:rsid w:val="00032502"/>
    <w:rsid w:val="00032CB6"/>
    <w:rsid w:val="000352F1"/>
    <w:rsid w:val="000358F0"/>
    <w:rsid w:val="00036000"/>
    <w:rsid w:val="00036C23"/>
    <w:rsid w:val="00037233"/>
    <w:rsid w:val="000379EC"/>
    <w:rsid w:val="00037C3B"/>
    <w:rsid w:val="000406BC"/>
    <w:rsid w:val="00042975"/>
    <w:rsid w:val="00043213"/>
    <w:rsid w:val="000442B8"/>
    <w:rsid w:val="00044B50"/>
    <w:rsid w:val="000455B7"/>
    <w:rsid w:val="00045FA8"/>
    <w:rsid w:val="0004792B"/>
    <w:rsid w:val="000479B6"/>
    <w:rsid w:val="00047A59"/>
    <w:rsid w:val="00050231"/>
    <w:rsid w:val="00051D45"/>
    <w:rsid w:val="00051D5C"/>
    <w:rsid w:val="00052090"/>
    <w:rsid w:val="000520E6"/>
    <w:rsid w:val="000526D4"/>
    <w:rsid w:val="00052826"/>
    <w:rsid w:val="00054390"/>
    <w:rsid w:val="000554C6"/>
    <w:rsid w:val="00055B9D"/>
    <w:rsid w:val="00055B9E"/>
    <w:rsid w:val="00057C9D"/>
    <w:rsid w:val="000627FD"/>
    <w:rsid w:val="00062932"/>
    <w:rsid w:val="00062D85"/>
    <w:rsid w:val="00063C01"/>
    <w:rsid w:val="00064695"/>
    <w:rsid w:val="00064D72"/>
    <w:rsid w:val="00065224"/>
    <w:rsid w:val="00065E6B"/>
    <w:rsid w:val="0006644E"/>
    <w:rsid w:val="00066780"/>
    <w:rsid w:val="00067650"/>
    <w:rsid w:val="00071DF5"/>
    <w:rsid w:val="00072552"/>
    <w:rsid w:val="00073097"/>
    <w:rsid w:val="00073ECC"/>
    <w:rsid w:val="00074762"/>
    <w:rsid w:val="00074845"/>
    <w:rsid w:val="00075147"/>
    <w:rsid w:val="00076770"/>
    <w:rsid w:val="00077673"/>
    <w:rsid w:val="00077D52"/>
    <w:rsid w:val="000802FC"/>
    <w:rsid w:val="000818A8"/>
    <w:rsid w:val="00082C21"/>
    <w:rsid w:val="00082E01"/>
    <w:rsid w:val="00083463"/>
    <w:rsid w:val="00083508"/>
    <w:rsid w:val="0008358B"/>
    <w:rsid w:val="000849DF"/>
    <w:rsid w:val="00084DFC"/>
    <w:rsid w:val="00085071"/>
    <w:rsid w:val="000850E2"/>
    <w:rsid w:val="00085A4E"/>
    <w:rsid w:val="00085D1C"/>
    <w:rsid w:val="00086B39"/>
    <w:rsid w:val="00086C64"/>
    <w:rsid w:val="000902D0"/>
    <w:rsid w:val="00092B4E"/>
    <w:rsid w:val="000937B6"/>
    <w:rsid w:val="00093D66"/>
    <w:rsid w:val="00093DFC"/>
    <w:rsid w:val="00093E30"/>
    <w:rsid w:val="00094161"/>
    <w:rsid w:val="00094CC7"/>
    <w:rsid w:val="00096144"/>
    <w:rsid w:val="00096690"/>
    <w:rsid w:val="00096BB2"/>
    <w:rsid w:val="00097CB3"/>
    <w:rsid w:val="00097F17"/>
    <w:rsid w:val="000A2BCF"/>
    <w:rsid w:val="000A31CA"/>
    <w:rsid w:val="000A321D"/>
    <w:rsid w:val="000A3858"/>
    <w:rsid w:val="000A3A7C"/>
    <w:rsid w:val="000A3FC3"/>
    <w:rsid w:val="000A4032"/>
    <w:rsid w:val="000A44E5"/>
    <w:rsid w:val="000A4F21"/>
    <w:rsid w:val="000A6589"/>
    <w:rsid w:val="000A6AE6"/>
    <w:rsid w:val="000A6EBE"/>
    <w:rsid w:val="000A6F94"/>
    <w:rsid w:val="000B0FD9"/>
    <w:rsid w:val="000B1207"/>
    <w:rsid w:val="000B17BA"/>
    <w:rsid w:val="000B1C76"/>
    <w:rsid w:val="000B1E74"/>
    <w:rsid w:val="000B2D64"/>
    <w:rsid w:val="000B3052"/>
    <w:rsid w:val="000B4293"/>
    <w:rsid w:val="000B4342"/>
    <w:rsid w:val="000B4432"/>
    <w:rsid w:val="000B5D1B"/>
    <w:rsid w:val="000B5F47"/>
    <w:rsid w:val="000B6248"/>
    <w:rsid w:val="000B71E8"/>
    <w:rsid w:val="000C0178"/>
    <w:rsid w:val="000C0772"/>
    <w:rsid w:val="000C1888"/>
    <w:rsid w:val="000C1A24"/>
    <w:rsid w:val="000C2395"/>
    <w:rsid w:val="000C2B3F"/>
    <w:rsid w:val="000C41FF"/>
    <w:rsid w:val="000C47DB"/>
    <w:rsid w:val="000C4B06"/>
    <w:rsid w:val="000C5F2C"/>
    <w:rsid w:val="000C6255"/>
    <w:rsid w:val="000C7C4D"/>
    <w:rsid w:val="000D042D"/>
    <w:rsid w:val="000D04D1"/>
    <w:rsid w:val="000D0E9F"/>
    <w:rsid w:val="000D11A5"/>
    <w:rsid w:val="000D2277"/>
    <w:rsid w:val="000D3080"/>
    <w:rsid w:val="000D3461"/>
    <w:rsid w:val="000D3AD0"/>
    <w:rsid w:val="000D44D1"/>
    <w:rsid w:val="000D6A41"/>
    <w:rsid w:val="000D6B4E"/>
    <w:rsid w:val="000D6C67"/>
    <w:rsid w:val="000D77E4"/>
    <w:rsid w:val="000E021C"/>
    <w:rsid w:val="000E1F76"/>
    <w:rsid w:val="000E21A5"/>
    <w:rsid w:val="000E2A40"/>
    <w:rsid w:val="000E420A"/>
    <w:rsid w:val="000E551B"/>
    <w:rsid w:val="000E6CA5"/>
    <w:rsid w:val="000F03D9"/>
    <w:rsid w:val="000F0B63"/>
    <w:rsid w:val="000F13FF"/>
    <w:rsid w:val="000F1A9B"/>
    <w:rsid w:val="000F22AA"/>
    <w:rsid w:val="000F3B8C"/>
    <w:rsid w:val="000F3FF7"/>
    <w:rsid w:val="000F4302"/>
    <w:rsid w:val="000F4B61"/>
    <w:rsid w:val="000F4E04"/>
    <w:rsid w:val="000F5578"/>
    <w:rsid w:val="000F5DE5"/>
    <w:rsid w:val="00100F77"/>
    <w:rsid w:val="0010105E"/>
    <w:rsid w:val="001016E9"/>
    <w:rsid w:val="00101F4B"/>
    <w:rsid w:val="00102200"/>
    <w:rsid w:val="0010240F"/>
    <w:rsid w:val="00102BD7"/>
    <w:rsid w:val="00102C48"/>
    <w:rsid w:val="001036DA"/>
    <w:rsid w:val="001037E6"/>
    <w:rsid w:val="001056E3"/>
    <w:rsid w:val="00105BF0"/>
    <w:rsid w:val="001072ED"/>
    <w:rsid w:val="001102DC"/>
    <w:rsid w:val="001106A1"/>
    <w:rsid w:val="00111704"/>
    <w:rsid w:val="001128ED"/>
    <w:rsid w:val="0011454C"/>
    <w:rsid w:val="001145BB"/>
    <w:rsid w:val="001145BF"/>
    <w:rsid w:val="00114CAF"/>
    <w:rsid w:val="001176A5"/>
    <w:rsid w:val="00117A2C"/>
    <w:rsid w:val="00117A52"/>
    <w:rsid w:val="00120D77"/>
    <w:rsid w:val="00120F13"/>
    <w:rsid w:val="00121EF1"/>
    <w:rsid w:val="00122E24"/>
    <w:rsid w:val="0012372A"/>
    <w:rsid w:val="00124D9B"/>
    <w:rsid w:val="00124FF3"/>
    <w:rsid w:val="00125436"/>
    <w:rsid w:val="00125778"/>
    <w:rsid w:val="00125C24"/>
    <w:rsid w:val="00127C5A"/>
    <w:rsid w:val="00130D59"/>
    <w:rsid w:val="0013105F"/>
    <w:rsid w:val="0013155B"/>
    <w:rsid w:val="00132E7A"/>
    <w:rsid w:val="00132FE4"/>
    <w:rsid w:val="0013412B"/>
    <w:rsid w:val="00134304"/>
    <w:rsid w:val="00134332"/>
    <w:rsid w:val="00135095"/>
    <w:rsid w:val="001372E0"/>
    <w:rsid w:val="0013736B"/>
    <w:rsid w:val="001377D3"/>
    <w:rsid w:val="0014193C"/>
    <w:rsid w:val="00141B92"/>
    <w:rsid w:val="0014219B"/>
    <w:rsid w:val="00142C8C"/>
    <w:rsid w:val="00144DB7"/>
    <w:rsid w:val="00150260"/>
    <w:rsid w:val="00151254"/>
    <w:rsid w:val="001519B4"/>
    <w:rsid w:val="00151A59"/>
    <w:rsid w:val="00152329"/>
    <w:rsid w:val="00154A0D"/>
    <w:rsid w:val="001554D1"/>
    <w:rsid w:val="00157356"/>
    <w:rsid w:val="0015751C"/>
    <w:rsid w:val="00157587"/>
    <w:rsid w:val="001603C3"/>
    <w:rsid w:val="00160989"/>
    <w:rsid w:val="0016171F"/>
    <w:rsid w:val="001619A6"/>
    <w:rsid w:val="00161A36"/>
    <w:rsid w:val="00161FF1"/>
    <w:rsid w:val="00162446"/>
    <w:rsid w:val="001639AE"/>
    <w:rsid w:val="001650A4"/>
    <w:rsid w:val="001667C6"/>
    <w:rsid w:val="00166B0F"/>
    <w:rsid w:val="001701FD"/>
    <w:rsid w:val="00170B2E"/>
    <w:rsid w:val="00170C22"/>
    <w:rsid w:val="00170FB3"/>
    <w:rsid w:val="00172F83"/>
    <w:rsid w:val="001731E8"/>
    <w:rsid w:val="00173924"/>
    <w:rsid w:val="001745E4"/>
    <w:rsid w:val="0017540B"/>
    <w:rsid w:val="0017566F"/>
    <w:rsid w:val="001765E0"/>
    <w:rsid w:val="00177CE0"/>
    <w:rsid w:val="00177F53"/>
    <w:rsid w:val="00180544"/>
    <w:rsid w:val="00180E33"/>
    <w:rsid w:val="0018141A"/>
    <w:rsid w:val="00182DE4"/>
    <w:rsid w:val="00184ED8"/>
    <w:rsid w:val="00184F39"/>
    <w:rsid w:val="00186686"/>
    <w:rsid w:val="0018772C"/>
    <w:rsid w:val="00187C70"/>
    <w:rsid w:val="00190B92"/>
    <w:rsid w:val="00191C20"/>
    <w:rsid w:val="00193A95"/>
    <w:rsid w:val="00194DE9"/>
    <w:rsid w:val="00195F4D"/>
    <w:rsid w:val="00196699"/>
    <w:rsid w:val="0019740D"/>
    <w:rsid w:val="00197534"/>
    <w:rsid w:val="00197C78"/>
    <w:rsid w:val="001A0CAB"/>
    <w:rsid w:val="001A3385"/>
    <w:rsid w:val="001A34A0"/>
    <w:rsid w:val="001A3708"/>
    <w:rsid w:val="001A4138"/>
    <w:rsid w:val="001A520E"/>
    <w:rsid w:val="001A6B0C"/>
    <w:rsid w:val="001A6FF7"/>
    <w:rsid w:val="001A71C1"/>
    <w:rsid w:val="001A79BB"/>
    <w:rsid w:val="001A79F9"/>
    <w:rsid w:val="001A7BAA"/>
    <w:rsid w:val="001B0E7E"/>
    <w:rsid w:val="001B18C8"/>
    <w:rsid w:val="001B21CE"/>
    <w:rsid w:val="001B38C8"/>
    <w:rsid w:val="001B3925"/>
    <w:rsid w:val="001B3A9C"/>
    <w:rsid w:val="001B41F8"/>
    <w:rsid w:val="001B4416"/>
    <w:rsid w:val="001B4581"/>
    <w:rsid w:val="001B6D04"/>
    <w:rsid w:val="001C0265"/>
    <w:rsid w:val="001C0E25"/>
    <w:rsid w:val="001C1588"/>
    <w:rsid w:val="001C1897"/>
    <w:rsid w:val="001C3A98"/>
    <w:rsid w:val="001C3D18"/>
    <w:rsid w:val="001C3E2B"/>
    <w:rsid w:val="001C5BBE"/>
    <w:rsid w:val="001C6CDA"/>
    <w:rsid w:val="001C7563"/>
    <w:rsid w:val="001C7A15"/>
    <w:rsid w:val="001D0364"/>
    <w:rsid w:val="001D088E"/>
    <w:rsid w:val="001D0F91"/>
    <w:rsid w:val="001D2423"/>
    <w:rsid w:val="001D3B1B"/>
    <w:rsid w:val="001D3BE0"/>
    <w:rsid w:val="001D5315"/>
    <w:rsid w:val="001D570A"/>
    <w:rsid w:val="001D59F4"/>
    <w:rsid w:val="001D6675"/>
    <w:rsid w:val="001D7A1F"/>
    <w:rsid w:val="001E0D85"/>
    <w:rsid w:val="001E1298"/>
    <w:rsid w:val="001E2563"/>
    <w:rsid w:val="001E29E8"/>
    <w:rsid w:val="001E4772"/>
    <w:rsid w:val="001E4883"/>
    <w:rsid w:val="001E4A79"/>
    <w:rsid w:val="001E4DC9"/>
    <w:rsid w:val="001E5195"/>
    <w:rsid w:val="001E5B15"/>
    <w:rsid w:val="001E5DE6"/>
    <w:rsid w:val="001E5F78"/>
    <w:rsid w:val="001E63FB"/>
    <w:rsid w:val="001E6D40"/>
    <w:rsid w:val="001E78CE"/>
    <w:rsid w:val="001F0448"/>
    <w:rsid w:val="001F1BBC"/>
    <w:rsid w:val="001F1BDC"/>
    <w:rsid w:val="001F3090"/>
    <w:rsid w:val="001F50E9"/>
    <w:rsid w:val="001F5329"/>
    <w:rsid w:val="001F63AA"/>
    <w:rsid w:val="001F6B66"/>
    <w:rsid w:val="001F6CEA"/>
    <w:rsid w:val="001F7409"/>
    <w:rsid w:val="001F7ED7"/>
    <w:rsid w:val="002008C6"/>
    <w:rsid w:val="00201006"/>
    <w:rsid w:val="002020E7"/>
    <w:rsid w:val="0020378C"/>
    <w:rsid w:val="002040E5"/>
    <w:rsid w:val="00205A48"/>
    <w:rsid w:val="00205C7E"/>
    <w:rsid w:val="00206095"/>
    <w:rsid w:val="002063D3"/>
    <w:rsid w:val="0020672E"/>
    <w:rsid w:val="00206C4B"/>
    <w:rsid w:val="002112E4"/>
    <w:rsid w:val="002114D4"/>
    <w:rsid w:val="00211A62"/>
    <w:rsid w:val="00212806"/>
    <w:rsid w:val="00213350"/>
    <w:rsid w:val="00213A9D"/>
    <w:rsid w:val="0021406F"/>
    <w:rsid w:val="002145FB"/>
    <w:rsid w:val="00214D00"/>
    <w:rsid w:val="002155E7"/>
    <w:rsid w:val="00216E86"/>
    <w:rsid w:val="002202AC"/>
    <w:rsid w:val="00220C57"/>
    <w:rsid w:val="00220F15"/>
    <w:rsid w:val="002210AC"/>
    <w:rsid w:val="00221947"/>
    <w:rsid w:val="002220D5"/>
    <w:rsid w:val="0022416E"/>
    <w:rsid w:val="00224D3C"/>
    <w:rsid w:val="00225BC0"/>
    <w:rsid w:val="00230979"/>
    <w:rsid w:val="0023132C"/>
    <w:rsid w:val="00232241"/>
    <w:rsid w:val="00232BC6"/>
    <w:rsid w:val="00234618"/>
    <w:rsid w:val="00234A7D"/>
    <w:rsid w:val="00235469"/>
    <w:rsid w:val="0023570D"/>
    <w:rsid w:val="002372AE"/>
    <w:rsid w:val="00237E55"/>
    <w:rsid w:val="00240399"/>
    <w:rsid w:val="00240CE0"/>
    <w:rsid w:val="00242E5E"/>
    <w:rsid w:val="00243581"/>
    <w:rsid w:val="00244312"/>
    <w:rsid w:val="002443F3"/>
    <w:rsid w:val="00246DE4"/>
    <w:rsid w:val="0025020D"/>
    <w:rsid w:val="0025044C"/>
    <w:rsid w:val="00250983"/>
    <w:rsid w:val="0025194C"/>
    <w:rsid w:val="0025373A"/>
    <w:rsid w:val="002538C3"/>
    <w:rsid w:val="002542AD"/>
    <w:rsid w:val="00255CD1"/>
    <w:rsid w:val="002561AB"/>
    <w:rsid w:val="00256BA3"/>
    <w:rsid w:val="002573ED"/>
    <w:rsid w:val="002614BA"/>
    <w:rsid w:val="00261C02"/>
    <w:rsid w:val="002628DE"/>
    <w:rsid w:val="002635C4"/>
    <w:rsid w:val="00263CAE"/>
    <w:rsid w:val="002647A7"/>
    <w:rsid w:val="0026502C"/>
    <w:rsid w:val="0026549C"/>
    <w:rsid w:val="00266B52"/>
    <w:rsid w:val="002679B4"/>
    <w:rsid w:val="00270F63"/>
    <w:rsid w:val="00271F1F"/>
    <w:rsid w:val="002721CE"/>
    <w:rsid w:val="00272D93"/>
    <w:rsid w:val="00274A09"/>
    <w:rsid w:val="00274C45"/>
    <w:rsid w:val="00274EA3"/>
    <w:rsid w:val="00274EBA"/>
    <w:rsid w:val="00274FC4"/>
    <w:rsid w:val="002754E1"/>
    <w:rsid w:val="0027557A"/>
    <w:rsid w:val="00275D8A"/>
    <w:rsid w:val="002774B5"/>
    <w:rsid w:val="00277563"/>
    <w:rsid w:val="00280C18"/>
    <w:rsid w:val="00280CFB"/>
    <w:rsid w:val="0028290F"/>
    <w:rsid w:val="00282B7A"/>
    <w:rsid w:val="00283D44"/>
    <w:rsid w:val="00284EAC"/>
    <w:rsid w:val="0028574B"/>
    <w:rsid w:val="00285B4A"/>
    <w:rsid w:val="00286A4A"/>
    <w:rsid w:val="00286F37"/>
    <w:rsid w:val="002871D4"/>
    <w:rsid w:val="00290F50"/>
    <w:rsid w:val="002912DA"/>
    <w:rsid w:val="002913F7"/>
    <w:rsid w:val="00291D04"/>
    <w:rsid w:val="002920C4"/>
    <w:rsid w:val="002930BE"/>
    <w:rsid w:val="00294DB5"/>
    <w:rsid w:val="0029566B"/>
    <w:rsid w:val="00297E6F"/>
    <w:rsid w:val="002A0022"/>
    <w:rsid w:val="002A07B5"/>
    <w:rsid w:val="002A169A"/>
    <w:rsid w:val="002A1BA2"/>
    <w:rsid w:val="002A25D9"/>
    <w:rsid w:val="002A2601"/>
    <w:rsid w:val="002A5A8C"/>
    <w:rsid w:val="002A61B5"/>
    <w:rsid w:val="002A6950"/>
    <w:rsid w:val="002A779E"/>
    <w:rsid w:val="002A7A2F"/>
    <w:rsid w:val="002A7C1C"/>
    <w:rsid w:val="002A7EC5"/>
    <w:rsid w:val="002B0708"/>
    <w:rsid w:val="002B085F"/>
    <w:rsid w:val="002B104F"/>
    <w:rsid w:val="002B148C"/>
    <w:rsid w:val="002B179E"/>
    <w:rsid w:val="002B2461"/>
    <w:rsid w:val="002B248C"/>
    <w:rsid w:val="002B3B97"/>
    <w:rsid w:val="002B3C4C"/>
    <w:rsid w:val="002B465B"/>
    <w:rsid w:val="002B5C5F"/>
    <w:rsid w:val="002B6810"/>
    <w:rsid w:val="002B6943"/>
    <w:rsid w:val="002B69AF"/>
    <w:rsid w:val="002B73B5"/>
    <w:rsid w:val="002B76AB"/>
    <w:rsid w:val="002B78FD"/>
    <w:rsid w:val="002C0665"/>
    <w:rsid w:val="002C1BF1"/>
    <w:rsid w:val="002C2993"/>
    <w:rsid w:val="002C320B"/>
    <w:rsid w:val="002C322A"/>
    <w:rsid w:val="002C33D4"/>
    <w:rsid w:val="002C3921"/>
    <w:rsid w:val="002C5048"/>
    <w:rsid w:val="002C60AB"/>
    <w:rsid w:val="002C6CF3"/>
    <w:rsid w:val="002C7134"/>
    <w:rsid w:val="002C7464"/>
    <w:rsid w:val="002C7618"/>
    <w:rsid w:val="002C787F"/>
    <w:rsid w:val="002C78C1"/>
    <w:rsid w:val="002C7B67"/>
    <w:rsid w:val="002D085C"/>
    <w:rsid w:val="002D0ADC"/>
    <w:rsid w:val="002D0F58"/>
    <w:rsid w:val="002D0F59"/>
    <w:rsid w:val="002D2A5E"/>
    <w:rsid w:val="002D2E12"/>
    <w:rsid w:val="002D383A"/>
    <w:rsid w:val="002D472C"/>
    <w:rsid w:val="002D576C"/>
    <w:rsid w:val="002D5E62"/>
    <w:rsid w:val="002D5F53"/>
    <w:rsid w:val="002E00A8"/>
    <w:rsid w:val="002E0431"/>
    <w:rsid w:val="002E0E9D"/>
    <w:rsid w:val="002E1277"/>
    <w:rsid w:val="002E1370"/>
    <w:rsid w:val="002E1E6C"/>
    <w:rsid w:val="002E2438"/>
    <w:rsid w:val="002E329F"/>
    <w:rsid w:val="002E3F7E"/>
    <w:rsid w:val="002E64AB"/>
    <w:rsid w:val="002E6E2B"/>
    <w:rsid w:val="002F147D"/>
    <w:rsid w:val="002F66C5"/>
    <w:rsid w:val="00301AEE"/>
    <w:rsid w:val="003027E4"/>
    <w:rsid w:val="00303004"/>
    <w:rsid w:val="003032F0"/>
    <w:rsid w:val="003034C1"/>
    <w:rsid w:val="00303F0A"/>
    <w:rsid w:val="003048B9"/>
    <w:rsid w:val="00304C84"/>
    <w:rsid w:val="003057A5"/>
    <w:rsid w:val="00310135"/>
    <w:rsid w:val="0031015A"/>
    <w:rsid w:val="00313FE8"/>
    <w:rsid w:val="003143BA"/>
    <w:rsid w:val="00314496"/>
    <w:rsid w:val="00315D98"/>
    <w:rsid w:val="00315FA8"/>
    <w:rsid w:val="00317162"/>
    <w:rsid w:val="003171CD"/>
    <w:rsid w:val="003177C5"/>
    <w:rsid w:val="00317AED"/>
    <w:rsid w:val="00317CC7"/>
    <w:rsid w:val="00320366"/>
    <w:rsid w:val="00320603"/>
    <w:rsid w:val="00320D13"/>
    <w:rsid w:val="0032468D"/>
    <w:rsid w:val="00331549"/>
    <w:rsid w:val="003333FD"/>
    <w:rsid w:val="003349F8"/>
    <w:rsid w:val="00335827"/>
    <w:rsid w:val="003361A2"/>
    <w:rsid w:val="00336847"/>
    <w:rsid w:val="00336D6B"/>
    <w:rsid w:val="00340A1D"/>
    <w:rsid w:val="00340EBE"/>
    <w:rsid w:val="00341A23"/>
    <w:rsid w:val="003427DE"/>
    <w:rsid w:val="00342C2E"/>
    <w:rsid w:val="00342ECE"/>
    <w:rsid w:val="00343171"/>
    <w:rsid w:val="003433B0"/>
    <w:rsid w:val="00344410"/>
    <w:rsid w:val="003444E1"/>
    <w:rsid w:val="00345537"/>
    <w:rsid w:val="00345633"/>
    <w:rsid w:val="00345921"/>
    <w:rsid w:val="00346D3E"/>
    <w:rsid w:val="00350D5A"/>
    <w:rsid w:val="0035251B"/>
    <w:rsid w:val="003541D2"/>
    <w:rsid w:val="0035480A"/>
    <w:rsid w:val="00354A1E"/>
    <w:rsid w:val="00355310"/>
    <w:rsid w:val="00355444"/>
    <w:rsid w:val="00355E42"/>
    <w:rsid w:val="00356400"/>
    <w:rsid w:val="00356B69"/>
    <w:rsid w:val="003576E6"/>
    <w:rsid w:val="00357B87"/>
    <w:rsid w:val="00357E3C"/>
    <w:rsid w:val="0036024D"/>
    <w:rsid w:val="00361555"/>
    <w:rsid w:val="003620C4"/>
    <w:rsid w:val="00362E60"/>
    <w:rsid w:val="00363064"/>
    <w:rsid w:val="00364532"/>
    <w:rsid w:val="003649D0"/>
    <w:rsid w:val="00364F76"/>
    <w:rsid w:val="0036706F"/>
    <w:rsid w:val="0037055A"/>
    <w:rsid w:val="003708F0"/>
    <w:rsid w:val="00370A46"/>
    <w:rsid w:val="00370FE9"/>
    <w:rsid w:val="00373933"/>
    <w:rsid w:val="00374B3D"/>
    <w:rsid w:val="00375713"/>
    <w:rsid w:val="00375984"/>
    <w:rsid w:val="00375B85"/>
    <w:rsid w:val="0038220E"/>
    <w:rsid w:val="00382A3E"/>
    <w:rsid w:val="00382B36"/>
    <w:rsid w:val="00382FD7"/>
    <w:rsid w:val="00384465"/>
    <w:rsid w:val="00386381"/>
    <w:rsid w:val="00386543"/>
    <w:rsid w:val="00386719"/>
    <w:rsid w:val="0038687B"/>
    <w:rsid w:val="00387DE0"/>
    <w:rsid w:val="0039058A"/>
    <w:rsid w:val="00390DE6"/>
    <w:rsid w:val="003923F8"/>
    <w:rsid w:val="00392C87"/>
    <w:rsid w:val="00395AC1"/>
    <w:rsid w:val="00395C07"/>
    <w:rsid w:val="003960B6"/>
    <w:rsid w:val="00396493"/>
    <w:rsid w:val="003968AF"/>
    <w:rsid w:val="003A0315"/>
    <w:rsid w:val="003A0936"/>
    <w:rsid w:val="003A09B7"/>
    <w:rsid w:val="003A0E28"/>
    <w:rsid w:val="003A1309"/>
    <w:rsid w:val="003A1760"/>
    <w:rsid w:val="003A18A7"/>
    <w:rsid w:val="003A25B7"/>
    <w:rsid w:val="003A2890"/>
    <w:rsid w:val="003A3FEF"/>
    <w:rsid w:val="003A5E24"/>
    <w:rsid w:val="003A69BA"/>
    <w:rsid w:val="003B082D"/>
    <w:rsid w:val="003B1A8B"/>
    <w:rsid w:val="003B1B63"/>
    <w:rsid w:val="003B2429"/>
    <w:rsid w:val="003B26E8"/>
    <w:rsid w:val="003B26FA"/>
    <w:rsid w:val="003B2BDA"/>
    <w:rsid w:val="003B449C"/>
    <w:rsid w:val="003B47AC"/>
    <w:rsid w:val="003B5B23"/>
    <w:rsid w:val="003B68FF"/>
    <w:rsid w:val="003B7AB4"/>
    <w:rsid w:val="003C006E"/>
    <w:rsid w:val="003C1619"/>
    <w:rsid w:val="003C1C6C"/>
    <w:rsid w:val="003C1E9E"/>
    <w:rsid w:val="003C2784"/>
    <w:rsid w:val="003C3173"/>
    <w:rsid w:val="003C475C"/>
    <w:rsid w:val="003C4F36"/>
    <w:rsid w:val="003C66DD"/>
    <w:rsid w:val="003C7F86"/>
    <w:rsid w:val="003D0F2B"/>
    <w:rsid w:val="003D1A4A"/>
    <w:rsid w:val="003D1F0A"/>
    <w:rsid w:val="003D383E"/>
    <w:rsid w:val="003D3F55"/>
    <w:rsid w:val="003D4DF4"/>
    <w:rsid w:val="003D7B33"/>
    <w:rsid w:val="003D7B6B"/>
    <w:rsid w:val="003D7BF1"/>
    <w:rsid w:val="003E0186"/>
    <w:rsid w:val="003E03D3"/>
    <w:rsid w:val="003E0E15"/>
    <w:rsid w:val="003E1478"/>
    <w:rsid w:val="003E21AC"/>
    <w:rsid w:val="003E2669"/>
    <w:rsid w:val="003E322D"/>
    <w:rsid w:val="003E399E"/>
    <w:rsid w:val="003E43FE"/>
    <w:rsid w:val="003E5BA1"/>
    <w:rsid w:val="003E5F6C"/>
    <w:rsid w:val="003E74FE"/>
    <w:rsid w:val="003F041E"/>
    <w:rsid w:val="003F19FF"/>
    <w:rsid w:val="003F55AF"/>
    <w:rsid w:val="003F56ED"/>
    <w:rsid w:val="003F72E4"/>
    <w:rsid w:val="003F7851"/>
    <w:rsid w:val="00400E7B"/>
    <w:rsid w:val="0040172E"/>
    <w:rsid w:val="00402A4D"/>
    <w:rsid w:val="00403949"/>
    <w:rsid w:val="00403A39"/>
    <w:rsid w:val="00403A71"/>
    <w:rsid w:val="004053DE"/>
    <w:rsid w:val="004055EF"/>
    <w:rsid w:val="004059A3"/>
    <w:rsid w:val="00406B1C"/>
    <w:rsid w:val="0040751A"/>
    <w:rsid w:val="00407ECA"/>
    <w:rsid w:val="00407FD5"/>
    <w:rsid w:val="004111C1"/>
    <w:rsid w:val="004116A7"/>
    <w:rsid w:val="00412B07"/>
    <w:rsid w:val="00412DA5"/>
    <w:rsid w:val="00413590"/>
    <w:rsid w:val="004137FB"/>
    <w:rsid w:val="00413F3F"/>
    <w:rsid w:val="00416179"/>
    <w:rsid w:val="004161D3"/>
    <w:rsid w:val="00416469"/>
    <w:rsid w:val="00416558"/>
    <w:rsid w:val="0041683A"/>
    <w:rsid w:val="00416CE5"/>
    <w:rsid w:val="0041701F"/>
    <w:rsid w:val="004201F3"/>
    <w:rsid w:val="00420275"/>
    <w:rsid w:val="00420308"/>
    <w:rsid w:val="0042060A"/>
    <w:rsid w:val="004225C5"/>
    <w:rsid w:val="0042654E"/>
    <w:rsid w:val="00427354"/>
    <w:rsid w:val="00431AE9"/>
    <w:rsid w:val="00433353"/>
    <w:rsid w:val="004339D4"/>
    <w:rsid w:val="00433B25"/>
    <w:rsid w:val="00433C3D"/>
    <w:rsid w:val="0043480D"/>
    <w:rsid w:val="00435023"/>
    <w:rsid w:val="00435F54"/>
    <w:rsid w:val="004367D8"/>
    <w:rsid w:val="0043690C"/>
    <w:rsid w:val="00436C3E"/>
    <w:rsid w:val="00437B78"/>
    <w:rsid w:val="00441D3A"/>
    <w:rsid w:val="00441D93"/>
    <w:rsid w:val="00442EDE"/>
    <w:rsid w:val="004430E3"/>
    <w:rsid w:val="00444237"/>
    <w:rsid w:val="00444963"/>
    <w:rsid w:val="004457D3"/>
    <w:rsid w:val="00446EFD"/>
    <w:rsid w:val="00447D28"/>
    <w:rsid w:val="00447DC0"/>
    <w:rsid w:val="00452303"/>
    <w:rsid w:val="0045308F"/>
    <w:rsid w:val="0045321A"/>
    <w:rsid w:val="00454543"/>
    <w:rsid w:val="0045478C"/>
    <w:rsid w:val="0045525F"/>
    <w:rsid w:val="00456E6B"/>
    <w:rsid w:val="00457736"/>
    <w:rsid w:val="00457B17"/>
    <w:rsid w:val="00457BCF"/>
    <w:rsid w:val="00457FC7"/>
    <w:rsid w:val="004611AC"/>
    <w:rsid w:val="00461212"/>
    <w:rsid w:val="00462A83"/>
    <w:rsid w:val="00464529"/>
    <w:rsid w:val="00464F72"/>
    <w:rsid w:val="00465463"/>
    <w:rsid w:val="00465FA0"/>
    <w:rsid w:val="004662C6"/>
    <w:rsid w:val="0046637D"/>
    <w:rsid w:val="004666F3"/>
    <w:rsid w:val="004667F0"/>
    <w:rsid w:val="00466CF4"/>
    <w:rsid w:val="0046710D"/>
    <w:rsid w:val="0046741F"/>
    <w:rsid w:val="00467D08"/>
    <w:rsid w:val="004720B3"/>
    <w:rsid w:val="00472A52"/>
    <w:rsid w:val="00472C73"/>
    <w:rsid w:val="00473126"/>
    <w:rsid w:val="004735FF"/>
    <w:rsid w:val="0047525C"/>
    <w:rsid w:val="00475C79"/>
    <w:rsid w:val="00476289"/>
    <w:rsid w:val="0047641B"/>
    <w:rsid w:val="004766EE"/>
    <w:rsid w:val="00476F5F"/>
    <w:rsid w:val="0048030B"/>
    <w:rsid w:val="00481FED"/>
    <w:rsid w:val="00482595"/>
    <w:rsid w:val="00482AE4"/>
    <w:rsid w:val="00483255"/>
    <w:rsid w:val="00484858"/>
    <w:rsid w:val="00485045"/>
    <w:rsid w:val="004852E7"/>
    <w:rsid w:val="00490C79"/>
    <w:rsid w:val="00490F84"/>
    <w:rsid w:val="004926BA"/>
    <w:rsid w:val="00492A73"/>
    <w:rsid w:val="00492EBC"/>
    <w:rsid w:val="0049392D"/>
    <w:rsid w:val="00494F8A"/>
    <w:rsid w:val="00495705"/>
    <w:rsid w:val="0049706D"/>
    <w:rsid w:val="00497CBA"/>
    <w:rsid w:val="004A0597"/>
    <w:rsid w:val="004A0B48"/>
    <w:rsid w:val="004A24A5"/>
    <w:rsid w:val="004A6034"/>
    <w:rsid w:val="004A6B3A"/>
    <w:rsid w:val="004B00BD"/>
    <w:rsid w:val="004B04A6"/>
    <w:rsid w:val="004B0791"/>
    <w:rsid w:val="004B0C65"/>
    <w:rsid w:val="004B15F0"/>
    <w:rsid w:val="004B2D8C"/>
    <w:rsid w:val="004B57E0"/>
    <w:rsid w:val="004B67A4"/>
    <w:rsid w:val="004B6D86"/>
    <w:rsid w:val="004B7104"/>
    <w:rsid w:val="004B745B"/>
    <w:rsid w:val="004B7892"/>
    <w:rsid w:val="004B7D8F"/>
    <w:rsid w:val="004B7DA8"/>
    <w:rsid w:val="004C0774"/>
    <w:rsid w:val="004C0CDD"/>
    <w:rsid w:val="004C221D"/>
    <w:rsid w:val="004C2438"/>
    <w:rsid w:val="004C30E5"/>
    <w:rsid w:val="004C4571"/>
    <w:rsid w:val="004C5AB9"/>
    <w:rsid w:val="004C633D"/>
    <w:rsid w:val="004C6345"/>
    <w:rsid w:val="004D001B"/>
    <w:rsid w:val="004D1314"/>
    <w:rsid w:val="004D291A"/>
    <w:rsid w:val="004D4172"/>
    <w:rsid w:val="004D49ED"/>
    <w:rsid w:val="004D59A2"/>
    <w:rsid w:val="004D5A02"/>
    <w:rsid w:val="004D5C66"/>
    <w:rsid w:val="004D6879"/>
    <w:rsid w:val="004D7BCB"/>
    <w:rsid w:val="004E0D97"/>
    <w:rsid w:val="004E11B6"/>
    <w:rsid w:val="004E12B8"/>
    <w:rsid w:val="004E27B1"/>
    <w:rsid w:val="004E3BFE"/>
    <w:rsid w:val="004E3DF3"/>
    <w:rsid w:val="004E5B81"/>
    <w:rsid w:val="004E6A9E"/>
    <w:rsid w:val="004E75A5"/>
    <w:rsid w:val="004E7BA9"/>
    <w:rsid w:val="004E7E23"/>
    <w:rsid w:val="004F06DC"/>
    <w:rsid w:val="004F1B85"/>
    <w:rsid w:val="004F4CEC"/>
    <w:rsid w:val="004F5485"/>
    <w:rsid w:val="004F5603"/>
    <w:rsid w:val="004F565E"/>
    <w:rsid w:val="004F6AAD"/>
    <w:rsid w:val="004F7235"/>
    <w:rsid w:val="004F7279"/>
    <w:rsid w:val="004F72AD"/>
    <w:rsid w:val="00501E0B"/>
    <w:rsid w:val="0050235D"/>
    <w:rsid w:val="005028D7"/>
    <w:rsid w:val="00502A88"/>
    <w:rsid w:val="00502C36"/>
    <w:rsid w:val="0050432D"/>
    <w:rsid w:val="0050499F"/>
    <w:rsid w:val="00506CC5"/>
    <w:rsid w:val="00511233"/>
    <w:rsid w:val="00511887"/>
    <w:rsid w:val="00511AED"/>
    <w:rsid w:val="0051321C"/>
    <w:rsid w:val="0051596B"/>
    <w:rsid w:val="00515F15"/>
    <w:rsid w:val="005176E4"/>
    <w:rsid w:val="00520006"/>
    <w:rsid w:val="00521AE0"/>
    <w:rsid w:val="005220DA"/>
    <w:rsid w:val="00524A67"/>
    <w:rsid w:val="00525292"/>
    <w:rsid w:val="00526400"/>
    <w:rsid w:val="00526F30"/>
    <w:rsid w:val="00531535"/>
    <w:rsid w:val="00532E6E"/>
    <w:rsid w:val="00533FA5"/>
    <w:rsid w:val="005344C6"/>
    <w:rsid w:val="00534E52"/>
    <w:rsid w:val="00534F57"/>
    <w:rsid w:val="00535B11"/>
    <w:rsid w:val="005371F0"/>
    <w:rsid w:val="00537ECE"/>
    <w:rsid w:val="00540A7B"/>
    <w:rsid w:val="00541ACF"/>
    <w:rsid w:val="00542882"/>
    <w:rsid w:val="00542BA5"/>
    <w:rsid w:val="0054359B"/>
    <w:rsid w:val="0054415F"/>
    <w:rsid w:val="00546A7B"/>
    <w:rsid w:val="0054714D"/>
    <w:rsid w:val="00547DAA"/>
    <w:rsid w:val="00550332"/>
    <w:rsid w:val="0055077A"/>
    <w:rsid w:val="005532B1"/>
    <w:rsid w:val="00553C45"/>
    <w:rsid w:val="00554515"/>
    <w:rsid w:val="00554F5B"/>
    <w:rsid w:val="0055534B"/>
    <w:rsid w:val="00555A6B"/>
    <w:rsid w:val="005565C5"/>
    <w:rsid w:val="00564BEB"/>
    <w:rsid w:val="00565554"/>
    <w:rsid w:val="0056593A"/>
    <w:rsid w:val="0056599B"/>
    <w:rsid w:val="00566F6B"/>
    <w:rsid w:val="005672E4"/>
    <w:rsid w:val="0056746C"/>
    <w:rsid w:val="00567AC7"/>
    <w:rsid w:val="00567DEA"/>
    <w:rsid w:val="00570348"/>
    <w:rsid w:val="00572F16"/>
    <w:rsid w:val="00575529"/>
    <w:rsid w:val="00575AFB"/>
    <w:rsid w:val="00575E47"/>
    <w:rsid w:val="00577A88"/>
    <w:rsid w:val="0058024E"/>
    <w:rsid w:val="00582074"/>
    <w:rsid w:val="00582DD9"/>
    <w:rsid w:val="00583F67"/>
    <w:rsid w:val="00584314"/>
    <w:rsid w:val="00584FCF"/>
    <w:rsid w:val="00585CF6"/>
    <w:rsid w:val="00586D9B"/>
    <w:rsid w:val="0058743B"/>
    <w:rsid w:val="00587518"/>
    <w:rsid w:val="0059059F"/>
    <w:rsid w:val="0059120F"/>
    <w:rsid w:val="0059305E"/>
    <w:rsid w:val="0059355A"/>
    <w:rsid w:val="00593A31"/>
    <w:rsid w:val="00594158"/>
    <w:rsid w:val="005965E7"/>
    <w:rsid w:val="00597B96"/>
    <w:rsid w:val="00597BB8"/>
    <w:rsid w:val="00597C16"/>
    <w:rsid w:val="005A0DDD"/>
    <w:rsid w:val="005A11CA"/>
    <w:rsid w:val="005A20C9"/>
    <w:rsid w:val="005A2AD8"/>
    <w:rsid w:val="005A2C31"/>
    <w:rsid w:val="005A5D43"/>
    <w:rsid w:val="005A6196"/>
    <w:rsid w:val="005A6782"/>
    <w:rsid w:val="005A7E03"/>
    <w:rsid w:val="005B0945"/>
    <w:rsid w:val="005B0B05"/>
    <w:rsid w:val="005B1D93"/>
    <w:rsid w:val="005B2002"/>
    <w:rsid w:val="005B2501"/>
    <w:rsid w:val="005B27A6"/>
    <w:rsid w:val="005B3121"/>
    <w:rsid w:val="005B32EB"/>
    <w:rsid w:val="005B402F"/>
    <w:rsid w:val="005B4340"/>
    <w:rsid w:val="005B47E5"/>
    <w:rsid w:val="005B4DB1"/>
    <w:rsid w:val="005B530B"/>
    <w:rsid w:val="005B56E5"/>
    <w:rsid w:val="005B6C1B"/>
    <w:rsid w:val="005B732E"/>
    <w:rsid w:val="005B7957"/>
    <w:rsid w:val="005C0017"/>
    <w:rsid w:val="005C2054"/>
    <w:rsid w:val="005C3690"/>
    <w:rsid w:val="005C3B36"/>
    <w:rsid w:val="005C3E0A"/>
    <w:rsid w:val="005C46E9"/>
    <w:rsid w:val="005C5190"/>
    <w:rsid w:val="005C6EA8"/>
    <w:rsid w:val="005C6F05"/>
    <w:rsid w:val="005C744B"/>
    <w:rsid w:val="005D0AD2"/>
    <w:rsid w:val="005D1516"/>
    <w:rsid w:val="005D313C"/>
    <w:rsid w:val="005D32E2"/>
    <w:rsid w:val="005D3CDE"/>
    <w:rsid w:val="005D405A"/>
    <w:rsid w:val="005D4C2B"/>
    <w:rsid w:val="005D5631"/>
    <w:rsid w:val="005D5902"/>
    <w:rsid w:val="005D5B25"/>
    <w:rsid w:val="005D5BE7"/>
    <w:rsid w:val="005D5F0C"/>
    <w:rsid w:val="005D71DD"/>
    <w:rsid w:val="005D735F"/>
    <w:rsid w:val="005E0274"/>
    <w:rsid w:val="005E0632"/>
    <w:rsid w:val="005E06B6"/>
    <w:rsid w:val="005E0C2E"/>
    <w:rsid w:val="005E18CE"/>
    <w:rsid w:val="005E282B"/>
    <w:rsid w:val="005E2947"/>
    <w:rsid w:val="005E2D7D"/>
    <w:rsid w:val="005E4D79"/>
    <w:rsid w:val="005E4DAC"/>
    <w:rsid w:val="005E70ED"/>
    <w:rsid w:val="005F03B6"/>
    <w:rsid w:val="005F1123"/>
    <w:rsid w:val="005F1BAE"/>
    <w:rsid w:val="005F1C13"/>
    <w:rsid w:val="005F330A"/>
    <w:rsid w:val="005F3FCC"/>
    <w:rsid w:val="005F61E2"/>
    <w:rsid w:val="005F6C93"/>
    <w:rsid w:val="0060013E"/>
    <w:rsid w:val="0060027E"/>
    <w:rsid w:val="006008E7"/>
    <w:rsid w:val="006030A1"/>
    <w:rsid w:val="00604615"/>
    <w:rsid w:val="006057E1"/>
    <w:rsid w:val="006069D1"/>
    <w:rsid w:val="00607C4A"/>
    <w:rsid w:val="00607CCC"/>
    <w:rsid w:val="00610A1F"/>
    <w:rsid w:val="0061232B"/>
    <w:rsid w:val="00612AFD"/>
    <w:rsid w:val="00614339"/>
    <w:rsid w:val="00614A12"/>
    <w:rsid w:val="00615B5C"/>
    <w:rsid w:val="00616F7C"/>
    <w:rsid w:val="006177D0"/>
    <w:rsid w:val="006203BA"/>
    <w:rsid w:val="006211E4"/>
    <w:rsid w:val="0062144E"/>
    <w:rsid w:val="006214DD"/>
    <w:rsid w:val="00622722"/>
    <w:rsid w:val="00622917"/>
    <w:rsid w:val="00622E9F"/>
    <w:rsid w:val="00622FD4"/>
    <w:rsid w:val="00623E84"/>
    <w:rsid w:val="00625834"/>
    <w:rsid w:val="00626667"/>
    <w:rsid w:val="00626B9B"/>
    <w:rsid w:val="00626D6C"/>
    <w:rsid w:val="00626DB3"/>
    <w:rsid w:val="00627161"/>
    <w:rsid w:val="00627255"/>
    <w:rsid w:val="006306CE"/>
    <w:rsid w:val="00631062"/>
    <w:rsid w:val="006316C9"/>
    <w:rsid w:val="0063194B"/>
    <w:rsid w:val="00631D4F"/>
    <w:rsid w:val="00632BB1"/>
    <w:rsid w:val="00633702"/>
    <w:rsid w:val="00635769"/>
    <w:rsid w:val="00636EA8"/>
    <w:rsid w:val="006403DE"/>
    <w:rsid w:val="006406D2"/>
    <w:rsid w:val="00641A97"/>
    <w:rsid w:val="006430F0"/>
    <w:rsid w:val="006440F5"/>
    <w:rsid w:val="00644483"/>
    <w:rsid w:val="0064464E"/>
    <w:rsid w:val="00644664"/>
    <w:rsid w:val="00644B77"/>
    <w:rsid w:val="006457EF"/>
    <w:rsid w:val="006459E4"/>
    <w:rsid w:val="00645E99"/>
    <w:rsid w:val="00646288"/>
    <w:rsid w:val="006467C1"/>
    <w:rsid w:val="00646A4B"/>
    <w:rsid w:val="00650839"/>
    <w:rsid w:val="00651856"/>
    <w:rsid w:val="006519F1"/>
    <w:rsid w:val="00651ADD"/>
    <w:rsid w:val="00651EAD"/>
    <w:rsid w:val="006523CC"/>
    <w:rsid w:val="00652D34"/>
    <w:rsid w:val="00652FEE"/>
    <w:rsid w:val="00653663"/>
    <w:rsid w:val="00653CA1"/>
    <w:rsid w:val="0065470D"/>
    <w:rsid w:val="006550B1"/>
    <w:rsid w:val="006557D3"/>
    <w:rsid w:val="0065647D"/>
    <w:rsid w:val="00656D74"/>
    <w:rsid w:val="0065705A"/>
    <w:rsid w:val="00660F1D"/>
    <w:rsid w:val="00661E90"/>
    <w:rsid w:val="006624BD"/>
    <w:rsid w:val="00663BBB"/>
    <w:rsid w:val="00663BF0"/>
    <w:rsid w:val="00664C15"/>
    <w:rsid w:val="006655E3"/>
    <w:rsid w:val="00665E1F"/>
    <w:rsid w:val="0066634C"/>
    <w:rsid w:val="00666F82"/>
    <w:rsid w:val="00670BCB"/>
    <w:rsid w:val="006731DB"/>
    <w:rsid w:val="006738F5"/>
    <w:rsid w:val="00675868"/>
    <w:rsid w:val="006768E8"/>
    <w:rsid w:val="006777CC"/>
    <w:rsid w:val="006800CB"/>
    <w:rsid w:val="00680ACB"/>
    <w:rsid w:val="0068313E"/>
    <w:rsid w:val="00683309"/>
    <w:rsid w:val="00683B44"/>
    <w:rsid w:val="00683D40"/>
    <w:rsid w:val="006849AC"/>
    <w:rsid w:val="0068689A"/>
    <w:rsid w:val="0068696E"/>
    <w:rsid w:val="00687FE6"/>
    <w:rsid w:val="00690C42"/>
    <w:rsid w:val="00691656"/>
    <w:rsid w:val="00691A95"/>
    <w:rsid w:val="00692A40"/>
    <w:rsid w:val="00692F46"/>
    <w:rsid w:val="00694235"/>
    <w:rsid w:val="00694848"/>
    <w:rsid w:val="00695434"/>
    <w:rsid w:val="006954BE"/>
    <w:rsid w:val="006959BD"/>
    <w:rsid w:val="00696083"/>
    <w:rsid w:val="0069672C"/>
    <w:rsid w:val="0069732E"/>
    <w:rsid w:val="006A073F"/>
    <w:rsid w:val="006A0D9D"/>
    <w:rsid w:val="006A120B"/>
    <w:rsid w:val="006A2465"/>
    <w:rsid w:val="006A264D"/>
    <w:rsid w:val="006A36E3"/>
    <w:rsid w:val="006A426E"/>
    <w:rsid w:val="006A448F"/>
    <w:rsid w:val="006A5DC5"/>
    <w:rsid w:val="006A5F8A"/>
    <w:rsid w:val="006A65F5"/>
    <w:rsid w:val="006A6875"/>
    <w:rsid w:val="006A68D8"/>
    <w:rsid w:val="006B08AC"/>
    <w:rsid w:val="006B121A"/>
    <w:rsid w:val="006B1C99"/>
    <w:rsid w:val="006B1D66"/>
    <w:rsid w:val="006B29EA"/>
    <w:rsid w:val="006B3E2E"/>
    <w:rsid w:val="006B3F54"/>
    <w:rsid w:val="006B5BB1"/>
    <w:rsid w:val="006B6235"/>
    <w:rsid w:val="006B65C5"/>
    <w:rsid w:val="006B6D70"/>
    <w:rsid w:val="006C01F1"/>
    <w:rsid w:val="006C1434"/>
    <w:rsid w:val="006C1581"/>
    <w:rsid w:val="006C1ABA"/>
    <w:rsid w:val="006C1E5F"/>
    <w:rsid w:val="006C2160"/>
    <w:rsid w:val="006C2632"/>
    <w:rsid w:val="006C2943"/>
    <w:rsid w:val="006C3166"/>
    <w:rsid w:val="006C3EEB"/>
    <w:rsid w:val="006C547F"/>
    <w:rsid w:val="006C6933"/>
    <w:rsid w:val="006C746A"/>
    <w:rsid w:val="006D001F"/>
    <w:rsid w:val="006D062A"/>
    <w:rsid w:val="006D18B6"/>
    <w:rsid w:val="006D1BB9"/>
    <w:rsid w:val="006D2D86"/>
    <w:rsid w:val="006D361B"/>
    <w:rsid w:val="006D362D"/>
    <w:rsid w:val="006D4893"/>
    <w:rsid w:val="006D61CE"/>
    <w:rsid w:val="006D6890"/>
    <w:rsid w:val="006D6A67"/>
    <w:rsid w:val="006D7F43"/>
    <w:rsid w:val="006E0E19"/>
    <w:rsid w:val="006E14DE"/>
    <w:rsid w:val="006E3AC5"/>
    <w:rsid w:val="006E3F79"/>
    <w:rsid w:val="006E4EA3"/>
    <w:rsid w:val="006E550B"/>
    <w:rsid w:val="006E6FC7"/>
    <w:rsid w:val="006E7100"/>
    <w:rsid w:val="006E76BC"/>
    <w:rsid w:val="006F0321"/>
    <w:rsid w:val="006F080B"/>
    <w:rsid w:val="006F0CA8"/>
    <w:rsid w:val="006F12B1"/>
    <w:rsid w:val="006F28AD"/>
    <w:rsid w:val="006F59B1"/>
    <w:rsid w:val="006F59C3"/>
    <w:rsid w:val="006F685E"/>
    <w:rsid w:val="006F73F3"/>
    <w:rsid w:val="006F760D"/>
    <w:rsid w:val="00701AD1"/>
    <w:rsid w:val="007032BF"/>
    <w:rsid w:val="007042D8"/>
    <w:rsid w:val="00710C5E"/>
    <w:rsid w:val="0071127A"/>
    <w:rsid w:val="0071270D"/>
    <w:rsid w:val="007128F4"/>
    <w:rsid w:val="00713574"/>
    <w:rsid w:val="00714861"/>
    <w:rsid w:val="00714B49"/>
    <w:rsid w:val="00714BFE"/>
    <w:rsid w:val="0071659C"/>
    <w:rsid w:val="00717097"/>
    <w:rsid w:val="0072289C"/>
    <w:rsid w:val="007238E8"/>
    <w:rsid w:val="00727E19"/>
    <w:rsid w:val="00727EF9"/>
    <w:rsid w:val="007325CD"/>
    <w:rsid w:val="00732F4C"/>
    <w:rsid w:val="0073381E"/>
    <w:rsid w:val="00733AA1"/>
    <w:rsid w:val="00733D7E"/>
    <w:rsid w:val="0073664D"/>
    <w:rsid w:val="00736920"/>
    <w:rsid w:val="0073726B"/>
    <w:rsid w:val="0074028E"/>
    <w:rsid w:val="00740293"/>
    <w:rsid w:val="0074038D"/>
    <w:rsid w:val="00740ECE"/>
    <w:rsid w:val="00741BA9"/>
    <w:rsid w:val="007429CD"/>
    <w:rsid w:val="0074304C"/>
    <w:rsid w:val="00743A09"/>
    <w:rsid w:val="0074443E"/>
    <w:rsid w:val="00744B83"/>
    <w:rsid w:val="00744E85"/>
    <w:rsid w:val="00745B41"/>
    <w:rsid w:val="0074621A"/>
    <w:rsid w:val="007475F4"/>
    <w:rsid w:val="00747E51"/>
    <w:rsid w:val="00750311"/>
    <w:rsid w:val="00751702"/>
    <w:rsid w:val="00752C7D"/>
    <w:rsid w:val="007530F5"/>
    <w:rsid w:val="0075320B"/>
    <w:rsid w:val="00755224"/>
    <w:rsid w:val="00755CB0"/>
    <w:rsid w:val="00755D00"/>
    <w:rsid w:val="00755DCD"/>
    <w:rsid w:val="00756360"/>
    <w:rsid w:val="00756FA4"/>
    <w:rsid w:val="00761450"/>
    <w:rsid w:val="007623D3"/>
    <w:rsid w:val="0076483C"/>
    <w:rsid w:val="007651D6"/>
    <w:rsid w:val="007657D8"/>
    <w:rsid w:val="00766675"/>
    <w:rsid w:val="00767943"/>
    <w:rsid w:val="0076797D"/>
    <w:rsid w:val="007703EA"/>
    <w:rsid w:val="007709C0"/>
    <w:rsid w:val="00770A2B"/>
    <w:rsid w:val="00771EEF"/>
    <w:rsid w:val="0077203C"/>
    <w:rsid w:val="007724F5"/>
    <w:rsid w:val="007732AA"/>
    <w:rsid w:val="00773949"/>
    <w:rsid w:val="007740D3"/>
    <w:rsid w:val="007745C2"/>
    <w:rsid w:val="00775335"/>
    <w:rsid w:val="007760E3"/>
    <w:rsid w:val="007779AA"/>
    <w:rsid w:val="0078064C"/>
    <w:rsid w:val="007806B0"/>
    <w:rsid w:val="007809D6"/>
    <w:rsid w:val="00781723"/>
    <w:rsid w:val="00781A29"/>
    <w:rsid w:val="007830F6"/>
    <w:rsid w:val="00783D0A"/>
    <w:rsid w:val="00784021"/>
    <w:rsid w:val="0078407B"/>
    <w:rsid w:val="00784778"/>
    <w:rsid w:val="00784FFE"/>
    <w:rsid w:val="00785036"/>
    <w:rsid w:val="00786162"/>
    <w:rsid w:val="00787746"/>
    <w:rsid w:val="0078794E"/>
    <w:rsid w:val="007918D7"/>
    <w:rsid w:val="007920A0"/>
    <w:rsid w:val="00792814"/>
    <w:rsid w:val="007946DC"/>
    <w:rsid w:val="00795195"/>
    <w:rsid w:val="007967E0"/>
    <w:rsid w:val="00796A47"/>
    <w:rsid w:val="007970FA"/>
    <w:rsid w:val="007A01CD"/>
    <w:rsid w:val="007A195A"/>
    <w:rsid w:val="007A2D79"/>
    <w:rsid w:val="007A32AD"/>
    <w:rsid w:val="007A43F5"/>
    <w:rsid w:val="007A4600"/>
    <w:rsid w:val="007A50C2"/>
    <w:rsid w:val="007A5B38"/>
    <w:rsid w:val="007A5E36"/>
    <w:rsid w:val="007A686B"/>
    <w:rsid w:val="007B06E8"/>
    <w:rsid w:val="007B1BA5"/>
    <w:rsid w:val="007B25A5"/>
    <w:rsid w:val="007B2CB7"/>
    <w:rsid w:val="007B3973"/>
    <w:rsid w:val="007B475A"/>
    <w:rsid w:val="007B596A"/>
    <w:rsid w:val="007B6952"/>
    <w:rsid w:val="007C0288"/>
    <w:rsid w:val="007C079E"/>
    <w:rsid w:val="007C0BED"/>
    <w:rsid w:val="007C16E3"/>
    <w:rsid w:val="007C2791"/>
    <w:rsid w:val="007C30D7"/>
    <w:rsid w:val="007C4DD6"/>
    <w:rsid w:val="007C5566"/>
    <w:rsid w:val="007C5CC2"/>
    <w:rsid w:val="007C6B7C"/>
    <w:rsid w:val="007C70B3"/>
    <w:rsid w:val="007C70CB"/>
    <w:rsid w:val="007C793F"/>
    <w:rsid w:val="007D019F"/>
    <w:rsid w:val="007D04CE"/>
    <w:rsid w:val="007D234E"/>
    <w:rsid w:val="007D2B55"/>
    <w:rsid w:val="007D3BFE"/>
    <w:rsid w:val="007D450D"/>
    <w:rsid w:val="007D4AB2"/>
    <w:rsid w:val="007D53E2"/>
    <w:rsid w:val="007D6784"/>
    <w:rsid w:val="007D6EA9"/>
    <w:rsid w:val="007D7D96"/>
    <w:rsid w:val="007D7FF0"/>
    <w:rsid w:val="007E0C30"/>
    <w:rsid w:val="007E57AE"/>
    <w:rsid w:val="007E6841"/>
    <w:rsid w:val="007F0365"/>
    <w:rsid w:val="007F127F"/>
    <w:rsid w:val="007F15C2"/>
    <w:rsid w:val="007F2303"/>
    <w:rsid w:val="007F2401"/>
    <w:rsid w:val="007F3C53"/>
    <w:rsid w:val="007F439B"/>
    <w:rsid w:val="007F476D"/>
    <w:rsid w:val="007F4839"/>
    <w:rsid w:val="007F57D5"/>
    <w:rsid w:val="007F5C9D"/>
    <w:rsid w:val="007F60D5"/>
    <w:rsid w:val="007F77B1"/>
    <w:rsid w:val="00800BA1"/>
    <w:rsid w:val="008016E8"/>
    <w:rsid w:val="00801AE3"/>
    <w:rsid w:val="008027AC"/>
    <w:rsid w:val="00803CC5"/>
    <w:rsid w:val="00804D2B"/>
    <w:rsid w:val="0080662B"/>
    <w:rsid w:val="008066F8"/>
    <w:rsid w:val="00806764"/>
    <w:rsid w:val="008067C2"/>
    <w:rsid w:val="008070AF"/>
    <w:rsid w:val="008076D4"/>
    <w:rsid w:val="00807741"/>
    <w:rsid w:val="00810851"/>
    <w:rsid w:val="008108C2"/>
    <w:rsid w:val="00812DAD"/>
    <w:rsid w:val="00812FCC"/>
    <w:rsid w:val="008151A2"/>
    <w:rsid w:val="008159C6"/>
    <w:rsid w:val="00816065"/>
    <w:rsid w:val="008166F6"/>
    <w:rsid w:val="00816A4F"/>
    <w:rsid w:val="00817B6E"/>
    <w:rsid w:val="00817DC7"/>
    <w:rsid w:val="008206EB"/>
    <w:rsid w:val="00822BA0"/>
    <w:rsid w:val="008234EA"/>
    <w:rsid w:val="00823F2A"/>
    <w:rsid w:val="00824998"/>
    <w:rsid w:val="00824B98"/>
    <w:rsid w:val="00826311"/>
    <w:rsid w:val="00826E25"/>
    <w:rsid w:val="008270DF"/>
    <w:rsid w:val="00827712"/>
    <w:rsid w:val="00827EE4"/>
    <w:rsid w:val="008307B0"/>
    <w:rsid w:val="00830BB7"/>
    <w:rsid w:val="008316D8"/>
    <w:rsid w:val="00831BAE"/>
    <w:rsid w:val="00832AA9"/>
    <w:rsid w:val="00832C61"/>
    <w:rsid w:val="00832C62"/>
    <w:rsid w:val="00832F03"/>
    <w:rsid w:val="00833175"/>
    <w:rsid w:val="00833AB2"/>
    <w:rsid w:val="008350E7"/>
    <w:rsid w:val="00835548"/>
    <w:rsid w:val="00836917"/>
    <w:rsid w:val="00837359"/>
    <w:rsid w:val="008376D3"/>
    <w:rsid w:val="00837ACC"/>
    <w:rsid w:val="0084011B"/>
    <w:rsid w:val="00840F73"/>
    <w:rsid w:val="008421A1"/>
    <w:rsid w:val="00842762"/>
    <w:rsid w:val="00844652"/>
    <w:rsid w:val="008451FC"/>
    <w:rsid w:val="00845A50"/>
    <w:rsid w:val="00846706"/>
    <w:rsid w:val="00846938"/>
    <w:rsid w:val="008471BD"/>
    <w:rsid w:val="00847BA1"/>
    <w:rsid w:val="00850765"/>
    <w:rsid w:val="008513AF"/>
    <w:rsid w:val="00851B8E"/>
    <w:rsid w:val="00853BF3"/>
    <w:rsid w:val="008541DC"/>
    <w:rsid w:val="008546FA"/>
    <w:rsid w:val="00854A72"/>
    <w:rsid w:val="00855291"/>
    <w:rsid w:val="00855D4F"/>
    <w:rsid w:val="008610A4"/>
    <w:rsid w:val="008624B3"/>
    <w:rsid w:val="00864854"/>
    <w:rsid w:val="008657BB"/>
    <w:rsid w:val="00865C72"/>
    <w:rsid w:val="00867761"/>
    <w:rsid w:val="00867DFB"/>
    <w:rsid w:val="00867F5D"/>
    <w:rsid w:val="0087018A"/>
    <w:rsid w:val="00870F21"/>
    <w:rsid w:val="00871EDB"/>
    <w:rsid w:val="00872275"/>
    <w:rsid w:val="00872D16"/>
    <w:rsid w:val="008736A2"/>
    <w:rsid w:val="00874260"/>
    <w:rsid w:val="00874AA1"/>
    <w:rsid w:val="00874CA7"/>
    <w:rsid w:val="00875ACB"/>
    <w:rsid w:val="00877636"/>
    <w:rsid w:val="00877A7E"/>
    <w:rsid w:val="00877AB0"/>
    <w:rsid w:val="00881464"/>
    <w:rsid w:val="008823C2"/>
    <w:rsid w:val="0088244A"/>
    <w:rsid w:val="008825BF"/>
    <w:rsid w:val="00884292"/>
    <w:rsid w:val="00885774"/>
    <w:rsid w:val="0088603B"/>
    <w:rsid w:val="00886B55"/>
    <w:rsid w:val="008870DE"/>
    <w:rsid w:val="00890A7A"/>
    <w:rsid w:val="00890E66"/>
    <w:rsid w:val="00891734"/>
    <w:rsid w:val="008924EC"/>
    <w:rsid w:val="00892BE1"/>
    <w:rsid w:val="008944F4"/>
    <w:rsid w:val="00894518"/>
    <w:rsid w:val="00895227"/>
    <w:rsid w:val="00895B7E"/>
    <w:rsid w:val="0089728C"/>
    <w:rsid w:val="00897345"/>
    <w:rsid w:val="00897D45"/>
    <w:rsid w:val="008A00D4"/>
    <w:rsid w:val="008A0AFF"/>
    <w:rsid w:val="008A120D"/>
    <w:rsid w:val="008A1417"/>
    <w:rsid w:val="008A264D"/>
    <w:rsid w:val="008A2DA7"/>
    <w:rsid w:val="008A3F11"/>
    <w:rsid w:val="008A40C2"/>
    <w:rsid w:val="008A4792"/>
    <w:rsid w:val="008A4E0A"/>
    <w:rsid w:val="008A565E"/>
    <w:rsid w:val="008A5FFF"/>
    <w:rsid w:val="008A6853"/>
    <w:rsid w:val="008A689C"/>
    <w:rsid w:val="008A6CF8"/>
    <w:rsid w:val="008A7486"/>
    <w:rsid w:val="008A7535"/>
    <w:rsid w:val="008A7C88"/>
    <w:rsid w:val="008B4870"/>
    <w:rsid w:val="008B56CC"/>
    <w:rsid w:val="008B66CF"/>
    <w:rsid w:val="008B693B"/>
    <w:rsid w:val="008B69CB"/>
    <w:rsid w:val="008B7DDC"/>
    <w:rsid w:val="008C08CD"/>
    <w:rsid w:val="008C212C"/>
    <w:rsid w:val="008C2866"/>
    <w:rsid w:val="008C2981"/>
    <w:rsid w:val="008C327B"/>
    <w:rsid w:val="008C3E9B"/>
    <w:rsid w:val="008C44A2"/>
    <w:rsid w:val="008C453B"/>
    <w:rsid w:val="008C4E32"/>
    <w:rsid w:val="008C58C5"/>
    <w:rsid w:val="008C5DFB"/>
    <w:rsid w:val="008C7146"/>
    <w:rsid w:val="008C74F3"/>
    <w:rsid w:val="008D1952"/>
    <w:rsid w:val="008D1FCB"/>
    <w:rsid w:val="008D3096"/>
    <w:rsid w:val="008D55C2"/>
    <w:rsid w:val="008D6827"/>
    <w:rsid w:val="008D6D63"/>
    <w:rsid w:val="008D76D9"/>
    <w:rsid w:val="008D7A1D"/>
    <w:rsid w:val="008E09DE"/>
    <w:rsid w:val="008E0D61"/>
    <w:rsid w:val="008E1496"/>
    <w:rsid w:val="008E1D37"/>
    <w:rsid w:val="008E296A"/>
    <w:rsid w:val="008E4B92"/>
    <w:rsid w:val="008E4FFD"/>
    <w:rsid w:val="008E55E6"/>
    <w:rsid w:val="008E5E27"/>
    <w:rsid w:val="008E5FAF"/>
    <w:rsid w:val="008E6405"/>
    <w:rsid w:val="008F0486"/>
    <w:rsid w:val="008F266F"/>
    <w:rsid w:val="008F2FF4"/>
    <w:rsid w:val="008F379A"/>
    <w:rsid w:val="008F4830"/>
    <w:rsid w:val="008F6781"/>
    <w:rsid w:val="008F7B7F"/>
    <w:rsid w:val="00904B93"/>
    <w:rsid w:val="00904C6C"/>
    <w:rsid w:val="00904FCE"/>
    <w:rsid w:val="00905CDB"/>
    <w:rsid w:val="009063D1"/>
    <w:rsid w:val="00906CD8"/>
    <w:rsid w:val="00906DE9"/>
    <w:rsid w:val="0090707E"/>
    <w:rsid w:val="00907970"/>
    <w:rsid w:val="00907B2C"/>
    <w:rsid w:val="00910375"/>
    <w:rsid w:val="00910CC3"/>
    <w:rsid w:val="00910E5B"/>
    <w:rsid w:val="00911160"/>
    <w:rsid w:val="0091127A"/>
    <w:rsid w:val="00911935"/>
    <w:rsid w:val="00913CC9"/>
    <w:rsid w:val="00913D7C"/>
    <w:rsid w:val="00914CAF"/>
    <w:rsid w:val="009168DC"/>
    <w:rsid w:val="00916A5C"/>
    <w:rsid w:val="00916DB3"/>
    <w:rsid w:val="00916E07"/>
    <w:rsid w:val="009174DD"/>
    <w:rsid w:val="00917B6F"/>
    <w:rsid w:val="00917D80"/>
    <w:rsid w:val="00920F13"/>
    <w:rsid w:val="00921492"/>
    <w:rsid w:val="00922D20"/>
    <w:rsid w:val="00924B2B"/>
    <w:rsid w:val="00925D8E"/>
    <w:rsid w:val="00926DDC"/>
    <w:rsid w:val="009271AD"/>
    <w:rsid w:val="009314A9"/>
    <w:rsid w:val="00932C35"/>
    <w:rsid w:val="00932CB3"/>
    <w:rsid w:val="00932FF5"/>
    <w:rsid w:val="009339EF"/>
    <w:rsid w:val="00933D2E"/>
    <w:rsid w:val="00934DA2"/>
    <w:rsid w:val="009351B1"/>
    <w:rsid w:val="00936043"/>
    <w:rsid w:val="009365E6"/>
    <w:rsid w:val="00937475"/>
    <w:rsid w:val="00937C5D"/>
    <w:rsid w:val="00940E6D"/>
    <w:rsid w:val="00941677"/>
    <w:rsid w:val="00942107"/>
    <w:rsid w:val="009438ED"/>
    <w:rsid w:val="00943E00"/>
    <w:rsid w:val="00944547"/>
    <w:rsid w:val="00944A56"/>
    <w:rsid w:val="00945983"/>
    <w:rsid w:val="009466CD"/>
    <w:rsid w:val="0095017A"/>
    <w:rsid w:val="00951626"/>
    <w:rsid w:val="00951D0B"/>
    <w:rsid w:val="00951DF7"/>
    <w:rsid w:val="0095211B"/>
    <w:rsid w:val="00952592"/>
    <w:rsid w:val="00953748"/>
    <w:rsid w:val="00953E15"/>
    <w:rsid w:val="00955196"/>
    <w:rsid w:val="009563FB"/>
    <w:rsid w:val="00956C92"/>
    <w:rsid w:val="00960B2B"/>
    <w:rsid w:val="009625CC"/>
    <w:rsid w:val="00965092"/>
    <w:rsid w:val="0096590D"/>
    <w:rsid w:val="00965AD9"/>
    <w:rsid w:val="0097014B"/>
    <w:rsid w:val="0097095B"/>
    <w:rsid w:val="009726CB"/>
    <w:rsid w:val="009750E1"/>
    <w:rsid w:val="0097591A"/>
    <w:rsid w:val="009773FC"/>
    <w:rsid w:val="00980686"/>
    <w:rsid w:val="00981457"/>
    <w:rsid w:val="00982AAB"/>
    <w:rsid w:val="009848F4"/>
    <w:rsid w:val="0098493D"/>
    <w:rsid w:val="00985099"/>
    <w:rsid w:val="00985748"/>
    <w:rsid w:val="00986E42"/>
    <w:rsid w:val="00987DFF"/>
    <w:rsid w:val="00990AC1"/>
    <w:rsid w:val="00993DEC"/>
    <w:rsid w:val="0099404A"/>
    <w:rsid w:val="009943C2"/>
    <w:rsid w:val="00995676"/>
    <w:rsid w:val="00995D54"/>
    <w:rsid w:val="00997BE8"/>
    <w:rsid w:val="009A0F79"/>
    <w:rsid w:val="009A10F4"/>
    <w:rsid w:val="009A115A"/>
    <w:rsid w:val="009A2356"/>
    <w:rsid w:val="009A29FD"/>
    <w:rsid w:val="009A3189"/>
    <w:rsid w:val="009A419E"/>
    <w:rsid w:val="009A6361"/>
    <w:rsid w:val="009A66E3"/>
    <w:rsid w:val="009A68A7"/>
    <w:rsid w:val="009A7FC1"/>
    <w:rsid w:val="009B0926"/>
    <w:rsid w:val="009B2566"/>
    <w:rsid w:val="009B29A1"/>
    <w:rsid w:val="009B2E2B"/>
    <w:rsid w:val="009B3448"/>
    <w:rsid w:val="009B345E"/>
    <w:rsid w:val="009B3E6E"/>
    <w:rsid w:val="009B4DB4"/>
    <w:rsid w:val="009B5709"/>
    <w:rsid w:val="009B6640"/>
    <w:rsid w:val="009C03B1"/>
    <w:rsid w:val="009C0F6E"/>
    <w:rsid w:val="009C29B5"/>
    <w:rsid w:val="009C2A19"/>
    <w:rsid w:val="009C2B95"/>
    <w:rsid w:val="009C30B9"/>
    <w:rsid w:val="009C4005"/>
    <w:rsid w:val="009C4F72"/>
    <w:rsid w:val="009C5B8F"/>
    <w:rsid w:val="009C6164"/>
    <w:rsid w:val="009C6D9D"/>
    <w:rsid w:val="009D0412"/>
    <w:rsid w:val="009D2951"/>
    <w:rsid w:val="009D4BF6"/>
    <w:rsid w:val="009D4EA7"/>
    <w:rsid w:val="009D5E1D"/>
    <w:rsid w:val="009D648D"/>
    <w:rsid w:val="009D756D"/>
    <w:rsid w:val="009D7F1E"/>
    <w:rsid w:val="009E006F"/>
    <w:rsid w:val="009E05C1"/>
    <w:rsid w:val="009E0685"/>
    <w:rsid w:val="009E20FB"/>
    <w:rsid w:val="009E2767"/>
    <w:rsid w:val="009E3D09"/>
    <w:rsid w:val="009E56B5"/>
    <w:rsid w:val="009E610F"/>
    <w:rsid w:val="009E6D58"/>
    <w:rsid w:val="009E73E6"/>
    <w:rsid w:val="009E748F"/>
    <w:rsid w:val="009E7EBB"/>
    <w:rsid w:val="009F11F5"/>
    <w:rsid w:val="009F206F"/>
    <w:rsid w:val="009F320B"/>
    <w:rsid w:val="009F3FD2"/>
    <w:rsid w:val="009F4315"/>
    <w:rsid w:val="009F497E"/>
    <w:rsid w:val="009F615C"/>
    <w:rsid w:val="009F666D"/>
    <w:rsid w:val="009F7E22"/>
    <w:rsid w:val="00A001DA"/>
    <w:rsid w:val="00A02C12"/>
    <w:rsid w:val="00A02D72"/>
    <w:rsid w:val="00A02F2E"/>
    <w:rsid w:val="00A03328"/>
    <w:rsid w:val="00A03379"/>
    <w:rsid w:val="00A03EFD"/>
    <w:rsid w:val="00A044C4"/>
    <w:rsid w:val="00A050D2"/>
    <w:rsid w:val="00A05205"/>
    <w:rsid w:val="00A05B82"/>
    <w:rsid w:val="00A05E5A"/>
    <w:rsid w:val="00A06171"/>
    <w:rsid w:val="00A07C79"/>
    <w:rsid w:val="00A07FCB"/>
    <w:rsid w:val="00A10776"/>
    <w:rsid w:val="00A10A28"/>
    <w:rsid w:val="00A10BA5"/>
    <w:rsid w:val="00A10F69"/>
    <w:rsid w:val="00A112BF"/>
    <w:rsid w:val="00A11650"/>
    <w:rsid w:val="00A11C57"/>
    <w:rsid w:val="00A11E8F"/>
    <w:rsid w:val="00A124B6"/>
    <w:rsid w:val="00A158A5"/>
    <w:rsid w:val="00A1592B"/>
    <w:rsid w:val="00A166BD"/>
    <w:rsid w:val="00A20955"/>
    <w:rsid w:val="00A21145"/>
    <w:rsid w:val="00A233ED"/>
    <w:rsid w:val="00A23C0C"/>
    <w:rsid w:val="00A24A4E"/>
    <w:rsid w:val="00A26D61"/>
    <w:rsid w:val="00A302EF"/>
    <w:rsid w:val="00A30DC6"/>
    <w:rsid w:val="00A31D65"/>
    <w:rsid w:val="00A32226"/>
    <w:rsid w:val="00A32D34"/>
    <w:rsid w:val="00A32E4D"/>
    <w:rsid w:val="00A333EF"/>
    <w:rsid w:val="00A33941"/>
    <w:rsid w:val="00A33C32"/>
    <w:rsid w:val="00A34CC0"/>
    <w:rsid w:val="00A359AE"/>
    <w:rsid w:val="00A3614A"/>
    <w:rsid w:val="00A36583"/>
    <w:rsid w:val="00A369D8"/>
    <w:rsid w:val="00A374FD"/>
    <w:rsid w:val="00A37D2D"/>
    <w:rsid w:val="00A40D30"/>
    <w:rsid w:val="00A42285"/>
    <w:rsid w:val="00A42E0D"/>
    <w:rsid w:val="00A44A50"/>
    <w:rsid w:val="00A44CEA"/>
    <w:rsid w:val="00A44D7A"/>
    <w:rsid w:val="00A45E0F"/>
    <w:rsid w:val="00A461FE"/>
    <w:rsid w:val="00A46CA7"/>
    <w:rsid w:val="00A47340"/>
    <w:rsid w:val="00A477D0"/>
    <w:rsid w:val="00A5026A"/>
    <w:rsid w:val="00A517DF"/>
    <w:rsid w:val="00A527D0"/>
    <w:rsid w:val="00A54035"/>
    <w:rsid w:val="00A54C69"/>
    <w:rsid w:val="00A550B9"/>
    <w:rsid w:val="00A55241"/>
    <w:rsid w:val="00A55379"/>
    <w:rsid w:val="00A55DC5"/>
    <w:rsid w:val="00A560A4"/>
    <w:rsid w:val="00A60420"/>
    <w:rsid w:val="00A60FF4"/>
    <w:rsid w:val="00A61FFF"/>
    <w:rsid w:val="00A62977"/>
    <w:rsid w:val="00A65028"/>
    <w:rsid w:val="00A656E4"/>
    <w:rsid w:val="00A65C08"/>
    <w:rsid w:val="00A66943"/>
    <w:rsid w:val="00A672CA"/>
    <w:rsid w:val="00A70801"/>
    <w:rsid w:val="00A727FB"/>
    <w:rsid w:val="00A72ED9"/>
    <w:rsid w:val="00A740B7"/>
    <w:rsid w:val="00A749E4"/>
    <w:rsid w:val="00A751E0"/>
    <w:rsid w:val="00A75718"/>
    <w:rsid w:val="00A75CA1"/>
    <w:rsid w:val="00A76CBA"/>
    <w:rsid w:val="00A76D65"/>
    <w:rsid w:val="00A816EA"/>
    <w:rsid w:val="00A826FA"/>
    <w:rsid w:val="00A8356D"/>
    <w:rsid w:val="00A835AD"/>
    <w:rsid w:val="00A8400E"/>
    <w:rsid w:val="00A8438E"/>
    <w:rsid w:val="00A847F4"/>
    <w:rsid w:val="00A84A0B"/>
    <w:rsid w:val="00A84BA1"/>
    <w:rsid w:val="00A906F3"/>
    <w:rsid w:val="00A906F8"/>
    <w:rsid w:val="00A914A0"/>
    <w:rsid w:val="00A9160D"/>
    <w:rsid w:val="00A9229F"/>
    <w:rsid w:val="00A9272A"/>
    <w:rsid w:val="00A92ABE"/>
    <w:rsid w:val="00A93715"/>
    <w:rsid w:val="00A966AB"/>
    <w:rsid w:val="00A971C1"/>
    <w:rsid w:val="00A9769D"/>
    <w:rsid w:val="00A9799B"/>
    <w:rsid w:val="00AA0289"/>
    <w:rsid w:val="00AA0924"/>
    <w:rsid w:val="00AA0E71"/>
    <w:rsid w:val="00AA15E2"/>
    <w:rsid w:val="00AA310E"/>
    <w:rsid w:val="00AA3427"/>
    <w:rsid w:val="00AA4542"/>
    <w:rsid w:val="00AA5C36"/>
    <w:rsid w:val="00AA6108"/>
    <w:rsid w:val="00AA61D5"/>
    <w:rsid w:val="00AA6C83"/>
    <w:rsid w:val="00AA70FA"/>
    <w:rsid w:val="00AA7F50"/>
    <w:rsid w:val="00AB0162"/>
    <w:rsid w:val="00AB01E9"/>
    <w:rsid w:val="00AB123C"/>
    <w:rsid w:val="00AB1401"/>
    <w:rsid w:val="00AB1546"/>
    <w:rsid w:val="00AB1A27"/>
    <w:rsid w:val="00AB4045"/>
    <w:rsid w:val="00AB52F9"/>
    <w:rsid w:val="00AB5564"/>
    <w:rsid w:val="00AB5AFB"/>
    <w:rsid w:val="00AB662E"/>
    <w:rsid w:val="00AB772A"/>
    <w:rsid w:val="00AC08B2"/>
    <w:rsid w:val="00AC0FE8"/>
    <w:rsid w:val="00AC175C"/>
    <w:rsid w:val="00AC405A"/>
    <w:rsid w:val="00AC4AD7"/>
    <w:rsid w:val="00AC4E77"/>
    <w:rsid w:val="00AD09D1"/>
    <w:rsid w:val="00AD1732"/>
    <w:rsid w:val="00AD2689"/>
    <w:rsid w:val="00AD366A"/>
    <w:rsid w:val="00AD42B7"/>
    <w:rsid w:val="00AD4302"/>
    <w:rsid w:val="00AD5593"/>
    <w:rsid w:val="00AD568B"/>
    <w:rsid w:val="00AD6045"/>
    <w:rsid w:val="00AD687E"/>
    <w:rsid w:val="00AE0301"/>
    <w:rsid w:val="00AE1298"/>
    <w:rsid w:val="00AE4078"/>
    <w:rsid w:val="00AE4473"/>
    <w:rsid w:val="00AE46A5"/>
    <w:rsid w:val="00AE5012"/>
    <w:rsid w:val="00AE65A4"/>
    <w:rsid w:val="00AE740B"/>
    <w:rsid w:val="00AE7AD1"/>
    <w:rsid w:val="00AF0545"/>
    <w:rsid w:val="00AF1364"/>
    <w:rsid w:val="00AF2085"/>
    <w:rsid w:val="00AF2AC1"/>
    <w:rsid w:val="00AF408F"/>
    <w:rsid w:val="00AF40BC"/>
    <w:rsid w:val="00AF6224"/>
    <w:rsid w:val="00AF62FB"/>
    <w:rsid w:val="00AF6CD3"/>
    <w:rsid w:val="00AF75E8"/>
    <w:rsid w:val="00B00252"/>
    <w:rsid w:val="00B007A5"/>
    <w:rsid w:val="00B01148"/>
    <w:rsid w:val="00B022F8"/>
    <w:rsid w:val="00B0267B"/>
    <w:rsid w:val="00B04224"/>
    <w:rsid w:val="00B04C0C"/>
    <w:rsid w:val="00B04EA8"/>
    <w:rsid w:val="00B05BAE"/>
    <w:rsid w:val="00B05E3C"/>
    <w:rsid w:val="00B0669E"/>
    <w:rsid w:val="00B070BA"/>
    <w:rsid w:val="00B07FFE"/>
    <w:rsid w:val="00B100E2"/>
    <w:rsid w:val="00B104A9"/>
    <w:rsid w:val="00B12094"/>
    <w:rsid w:val="00B12689"/>
    <w:rsid w:val="00B12A82"/>
    <w:rsid w:val="00B1421B"/>
    <w:rsid w:val="00B147E5"/>
    <w:rsid w:val="00B14C57"/>
    <w:rsid w:val="00B15280"/>
    <w:rsid w:val="00B15B53"/>
    <w:rsid w:val="00B1615E"/>
    <w:rsid w:val="00B169B1"/>
    <w:rsid w:val="00B17B7D"/>
    <w:rsid w:val="00B17B8F"/>
    <w:rsid w:val="00B22719"/>
    <w:rsid w:val="00B231A7"/>
    <w:rsid w:val="00B23D8D"/>
    <w:rsid w:val="00B23DD8"/>
    <w:rsid w:val="00B2409C"/>
    <w:rsid w:val="00B2509F"/>
    <w:rsid w:val="00B256C9"/>
    <w:rsid w:val="00B257FA"/>
    <w:rsid w:val="00B26651"/>
    <w:rsid w:val="00B266B3"/>
    <w:rsid w:val="00B26B1C"/>
    <w:rsid w:val="00B27143"/>
    <w:rsid w:val="00B30362"/>
    <w:rsid w:val="00B31238"/>
    <w:rsid w:val="00B3250F"/>
    <w:rsid w:val="00B362DC"/>
    <w:rsid w:val="00B36DC5"/>
    <w:rsid w:val="00B36E41"/>
    <w:rsid w:val="00B37A47"/>
    <w:rsid w:val="00B406BB"/>
    <w:rsid w:val="00B416D5"/>
    <w:rsid w:val="00B419E1"/>
    <w:rsid w:val="00B44650"/>
    <w:rsid w:val="00B4524A"/>
    <w:rsid w:val="00B457EC"/>
    <w:rsid w:val="00B46189"/>
    <w:rsid w:val="00B462C9"/>
    <w:rsid w:val="00B4718B"/>
    <w:rsid w:val="00B47C1D"/>
    <w:rsid w:val="00B52B3E"/>
    <w:rsid w:val="00B53581"/>
    <w:rsid w:val="00B53D8A"/>
    <w:rsid w:val="00B54236"/>
    <w:rsid w:val="00B56941"/>
    <w:rsid w:val="00B61C30"/>
    <w:rsid w:val="00B625D6"/>
    <w:rsid w:val="00B6292C"/>
    <w:rsid w:val="00B62EE1"/>
    <w:rsid w:val="00B63C35"/>
    <w:rsid w:val="00B640DE"/>
    <w:rsid w:val="00B64EB5"/>
    <w:rsid w:val="00B650FB"/>
    <w:rsid w:val="00B65567"/>
    <w:rsid w:val="00B656B4"/>
    <w:rsid w:val="00B666C3"/>
    <w:rsid w:val="00B66BD4"/>
    <w:rsid w:val="00B66DF1"/>
    <w:rsid w:val="00B67785"/>
    <w:rsid w:val="00B677F8"/>
    <w:rsid w:val="00B70A04"/>
    <w:rsid w:val="00B71051"/>
    <w:rsid w:val="00B72AAA"/>
    <w:rsid w:val="00B735BA"/>
    <w:rsid w:val="00B7447C"/>
    <w:rsid w:val="00B75CFF"/>
    <w:rsid w:val="00B75D0E"/>
    <w:rsid w:val="00B76817"/>
    <w:rsid w:val="00B807F5"/>
    <w:rsid w:val="00B80D4A"/>
    <w:rsid w:val="00B80E42"/>
    <w:rsid w:val="00B81134"/>
    <w:rsid w:val="00B81CB0"/>
    <w:rsid w:val="00B81DB0"/>
    <w:rsid w:val="00B835A7"/>
    <w:rsid w:val="00B84496"/>
    <w:rsid w:val="00B859B3"/>
    <w:rsid w:val="00B869A9"/>
    <w:rsid w:val="00B86F49"/>
    <w:rsid w:val="00B875CE"/>
    <w:rsid w:val="00B92B95"/>
    <w:rsid w:val="00B92C00"/>
    <w:rsid w:val="00B92CF2"/>
    <w:rsid w:val="00B93682"/>
    <w:rsid w:val="00B95324"/>
    <w:rsid w:val="00B96CE4"/>
    <w:rsid w:val="00B96F25"/>
    <w:rsid w:val="00B974F4"/>
    <w:rsid w:val="00B97A6C"/>
    <w:rsid w:val="00BA00C8"/>
    <w:rsid w:val="00BA0913"/>
    <w:rsid w:val="00BA0CE5"/>
    <w:rsid w:val="00BA235D"/>
    <w:rsid w:val="00BA2928"/>
    <w:rsid w:val="00BA2B6E"/>
    <w:rsid w:val="00BA37C8"/>
    <w:rsid w:val="00BA47F8"/>
    <w:rsid w:val="00BA554B"/>
    <w:rsid w:val="00BA5961"/>
    <w:rsid w:val="00BA5AF7"/>
    <w:rsid w:val="00BA629A"/>
    <w:rsid w:val="00BA687E"/>
    <w:rsid w:val="00BA768A"/>
    <w:rsid w:val="00BA7CFE"/>
    <w:rsid w:val="00BB0633"/>
    <w:rsid w:val="00BB1607"/>
    <w:rsid w:val="00BB1E2E"/>
    <w:rsid w:val="00BB38DE"/>
    <w:rsid w:val="00BB3E2D"/>
    <w:rsid w:val="00BB3EFA"/>
    <w:rsid w:val="00BB3F36"/>
    <w:rsid w:val="00BB42C4"/>
    <w:rsid w:val="00BB50C5"/>
    <w:rsid w:val="00BB5318"/>
    <w:rsid w:val="00BB6F9F"/>
    <w:rsid w:val="00BB7FA9"/>
    <w:rsid w:val="00BC07E9"/>
    <w:rsid w:val="00BC0DE4"/>
    <w:rsid w:val="00BC13E6"/>
    <w:rsid w:val="00BC2292"/>
    <w:rsid w:val="00BC6D7A"/>
    <w:rsid w:val="00BC7394"/>
    <w:rsid w:val="00BC7AA7"/>
    <w:rsid w:val="00BC7B94"/>
    <w:rsid w:val="00BD004A"/>
    <w:rsid w:val="00BD01E9"/>
    <w:rsid w:val="00BD2CA8"/>
    <w:rsid w:val="00BD432D"/>
    <w:rsid w:val="00BD4BA7"/>
    <w:rsid w:val="00BD4CCE"/>
    <w:rsid w:val="00BD5049"/>
    <w:rsid w:val="00BD6038"/>
    <w:rsid w:val="00BD66BC"/>
    <w:rsid w:val="00BD7350"/>
    <w:rsid w:val="00BD78D2"/>
    <w:rsid w:val="00BE0EEC"/>
    <w:rsid w:val="00BE12DB"/>
    <w:rsid w:val="00BE2145"/>
    <w:rsid w:val="00BE2A2F"/>
    <w:rsid w:val="00BE333F"/>
    <w:rsid w:val="00BE4193"/>
    <w:rsid w:val="00BE4E1C"/>
    <w:rsid w:val="00BE56DA"/>
    <w:rsid w:val="00BE5745"/>
    <w:rsid w:val="00BE674C"/>
    <w:rsid w:val="00BE7026"/>
    <w:rsid w:val="00BE70A9"/>
    <w:rsid w:val="00BE74BE"/>
    <w:rsid w:val="00BE75C6"/>
    <w:rsid w:val="00BF01EE"/>
    <w:rsid w:val="00BF07FC"/>
    <w:rsid w:val="00BF1252"/>
    <w:rsid w:val="00BF12A8"/>
    <w:rsid w:val="00BF194C"/>
    <w:rsid w:val="00BF471C"/>
    <w:rsid w:val="00BF4A2C"/>
    <w:rsid w:val="00BF6919"/>
    <w:rsid w:val="00BF7218"/>
    <w:rsid w:val="00C00392"/>
    <w:rsid w:val="00C01383"/>
    <w:rsid w:val="00C019FA"/>
    <w:rsid w:val="00C01F97"/>
    <w:rsid w:val="00C02259"/>
    <w:rsid w:val="00C023B9"/>
    <w:rsid w:val="00C037BD"/>
    <w:rsid w:val="00C04263"/>
    <w:rsid w:val="00C045F8"/>
    <w:rsid w:val="00C04750"/>
    <w:rsid w:val="00C05B2D"/>
    <w:rsid w:val="00C05D70"/>
    <w:rsid w:val="00C05E3F"/>
    <w:rsid w:val="00C07DD3"/>
    <w:rsid w:val="00C101C4"/>
    <w:rsid w:val="00C1029B"/>
    <w:rsid w:val="00C12122"/>
    <w:rsid w:val="00C12C8A"/>
    <w:rsid w:val="00C12D14"/>
    <w:rsid w:val="00C12F9D"/>
    <w:rsid w:val="00C133E2"/>
    <w:rsid w:val="00C14984"/>
    <w:rsid w:val="00C151CE"/>
    <w:rsid w:val="00C154AF"/>
    <w:rsid w:val="00C154D0"/>
    <w:rsid w:val="00C15A76"/>
    <w:rsid w:val="00C163DD"/>
    <w:rsid w:val="00C16F32"/>
    <w:rsid w:val="00C16F5B"/>
    <w:rsid w:val="00C17CF7"/>
    <w:rsid w:val="00C20904"/>
    <w:rsid w:val="00C20CC6"/>
    <w:rsid w:val="00C226E9"/>
    <w:rsid w:val="00C2372B"/>
    <w:rsid w:val="00C239B5"/>
    <w:rsid w:val="00C23AB7"/>
    <w:rsid w:val="00C24F27"/>
    <w:rsid w:val="00C24F3A"/>
    <w:rsid w:val="00C2633E"/>
    <w:rsid w:val="00C2661D"/>
    <w:rsid w:val="00C27155"/>
    <w:rsid w:val="00C27D28"/>
    <w:rsid w:val="00C30E6D"/>
    <w:rsid w:val="00C31127"/>
    <w:rsid w:val="00C311B2"/>
    <w:rsid w:val="00C325E4"/>
    <w:rsid w:val="00C33117"/>
    <w:rsid w:val="00C33283"/>
    <w:rsid w:val="00C337B3"/>
    <w:rsid w:val="00C34342"/>
    <w:rsid w:val="00C34A92"/>
    <w:rsid w:val="00C37976"/>
    <w:rsid w:val="00C400FB"/>
    <w:rsid w:val="00C40674"/>
    <w:rsid w:val="00C4139B"/>
    <w:rsid w:val="00C43F53"/>
    <w:rsid w:val="00C43FDA"/>
    <w:rsid w:val="00C4513D"/>
    <w:rsid w:val="00C45695"/>
    <w:rsid w:val="00C45EDD"/>
    <w:rsid w:val="00C46847"/>
    <w:rsid w:val="00C46BC6"/>
    <w:rsid w:val="00C47321"/>
    <w:rsid w:val="00C501E8"/>
    <w:rsid w:val="00C506FB"/>
    <w:rsid w:val="00C50977"/>
    <w:rsid w:val="00C51DCF"/>
    <w:rsid w:val="00C532F8"/>
    <w:rsid w:val="00C544D4"/>
    <w:rsid w:val="00C547D0"/>
    <w:rsid w:val="00C55886"/>
    <w:rsid w:val="00C60032"/>
    <w:rsid w:val="00C6168A"/>
    <w:rsid w:val="00C64947"/>
    <w:rsid w:val="00C6572F"/>
    <w:rsid w:val="00C657B7"/>
    <w:rsid w:val="00C6605A"/>
    <w:rsid w:val="00C6620A"/>
    <w:rsid w:val="00C6628B"/>
    <w:rsid w:val="00C6789C"/>
    <w:rsid w:val="00C72B21"/>
    <w:rsid w:val="00C72B7C"/>
    <w:rsid w:val="00C73351"/>
    <w:rsid w:val="00C73FAD"/>
    <w:rsid w:val="00C74ACA"/>
    <w:rsid w:val="00C752CF"/>
    <w:rsid w:val="00C7648A"/>
    <w:rsid w:val="00C769ED"/>
    <w:rsid w:val="00C76C88"/>
    <w:rsid w:val="00C7735A"/>
    <w:rsid w:val="00C80133"/>
    <w:rsid w:val="00C8084D"/>
    <w:rsid w:val="00C81CC6"/>
    <w:rsid w:val="00C82102"/>
    <w:rsid w:val="00C82435"/>
    <w:rsid w:val="00C83559"/>
    <w:rsid w:val="00C83D61"/>
    <w:rsid w:val="00C8439B"/>
    <w:rsid w:val="00C84AFE"/>
    <w:rsid w:val="00C853D7"/>
    <w:rsid w:val="00C85461"/>
    <w:rsid w:val="00C8595C"/>
    <w:rsid w:val="00C85F61"/>
    <w:rsid w:val="00C86209"/>
    <w:rsid w:val="00C87548"/>
    <w:rsid w:val="00C904EA"/>
    <w:rsid w:val="00C90B52"/>
    <w:rsid w:val="00C91CF4"/>
    <w:rsid w:val="00C93521"/>
    <w:rsid w:val="00C9368C"/>
    <w:rsid w:val="00C94492"/>
    <w:rsid w:val="00C94A00"/>
    <w:rsid w:val="00C9576B"/>
    <w:rsid w:val="00C961A5"/>
    <w:rsid w:val="00C97A72"/>
    <w:rsid w:val="00C97AC3"/>
    <w:rsid w:val="00CA1565"/>
    <w:rsid w:val="00CA2324"/>
    <w:rsid w:val="00CA239E"/>
    <w:rsid w:val="00CA2836"/>
    <w:rsid w:val="00CA379F"/>
    <w:rsid w:val="00CA4CEC"/>
    <w:rsid w:val="00CA4ED8"/>
    <w:rsid w:val="00CA63A1"/>
    <w:rsid w:val="00CA6676"/>
    <w:rsid w:val="00CA698C"/>
    <w:rsid w:val="00CA6A9C"/>
    <w:rsid w:val="00CA6AD0"/>
    <w:rsid w:val="00CA6C51"/>
    <w:rsid w:val="00CB02F6"/>
    <w:rsid w:val="00CB0663"/>
    <w:rsid w:val="00CB0CCA"/>
    <w:rsid w:val="00CB1A25"/>
    <w:rsid w:val="00CB287A"/>
    <w:rsid w:val="00CB2EA9"/>
    <w:rsid w:val="00CB4926"/>
    <w:rsid w:val="00CB495E"/>
    <w:rsid w:val="00CB4EC8"/>
    <w:rsid w:val="00CB691A"/>
    <w:rsid w:val="00CB744D"/>
    <w:rsid w:val="00CC017D"/>
    <w:rsid w:val="00CC0D7E"/>
    <w:rsid w:val="00CC1940"/>
    <w:rsid w:val="00CC1CCC"/>
    <w:rsid w:val="00CC20E7"/>
    <w:rsid w:val="00CC236B"/>
    <w:rsid w:val="00CC2A19"/>
    <w:rsid w:val="00CC554B"/>
    <w:rsid w:val="00CC57BD"/>
    <w:rsid w:val="00CC593C"/>
    <w:rsid w:val="00CC6123"/>
    <w:rsid w:val="00CC6E0B"/>
    <w:rsid w:val="00CD0295"/>
    <w:rsid w:val="00CD0A4E"/>
    <w:rsid w:val="00CD0D8F"/>
    <w:rsid w:val="00CD2FA8"/>
    <w:rsid w:val="00CD3EF9"/>
    <w:rsid w:val="00CD4CA0"/>
    <w:rsid w:val="00CD6C05"/>
    <w:rsid w:val="00CE0DB4"/>
    <w:rsid w:val="00CE182A"/>
    <w:rsid w:val="00CE2C1F"/>
    <w:rsid w:val="00CE3C81"/>
    <w:rsid w:val="00CE50A1"/>
    <w:rsid w:val="00CE54DD"/>
    <w:rsid w:val="00CE5778"/>
    <w:rsid w:val="00CE5A39"/>
    <w:rsid w:val="00CE6166"/>
    <w:rsid w:val="00CE672A"/>
    <w:rsid w:val="00CE6BA0"/>
    <w:rsid w:val="00CE72CE"/>
    <w:rsid w:val="00CE79F6"/>
    <w:rsid w:val="00CE7F5A"/>
    <w:rsid w:val="00CF29A4"/>
    <w:rsid w:val="00CF38A6"/>
    <w:rsid w:val="00CF3D7D"/>
    <w:rsid w:val="00CF467C"/>
    <w:rsid w:val="00CF5E34"/>
    <w:rsid w:val="00CF7E94"/>
    <w:rsid w:val="00D00C01"/>
    <w:rsid w:val="00D00D48"/>
    <w:rsid w:val="00D02276"/>
    <w:rsid w:val="00D02326"/>
    <w:rsid w:val="00D0311A"/>
    <w:rsid w:val="00D0459C"/>
    <w:rsid w:val="00D04B6C"/>
    <w:rsid w:val="00D054F8"/>
    <w:rsid w:val="00D057C5"/>
    <w:rsid w:val="00D05EDA"/>
    <w:rsid w:val="00D06013"/>
    <w:rsid w:val="00D06065"/>
    <w:rsid w:val="00D07930"/>
    <w:rsid w:val="00D103C9"/>
    <w:rsid w:val="00D11784"/>
    <w:rsid w:val="00D11BCF"/>
    <w:rsid w:val="00D12FCB"/>
    <w:rsid w:val="00D13D06"/>
    <w:rsid w:val="00D14E9B"/>
    <w:rsid w:val="00D15B3C"/>
    <w:rsid w:val="00D17AF1"/>
    <w:rsid w:val="00D17DCC"/>
    <w:rsid w:val="00D21C8E"/>
    <w:rsid w:val="00D22247"/>
    <w:rsid w:val="00D242FD"/>
    <w:rsid w:val="00D255D9"/>
    <w:rsid w:val="00D25DE7"/>
    <w:rsid w:val="00D26AF1"/>
    <w:rsid w:val="00D3067E"/>
    <w:rsid w:val="00D311CF"/>
    <w:rsid w:val="00D31889"/>
    <w:rsid w:val="00D31D12"/>
    <w:rsid w:val="00D32D3C"/>
    <w:rsid w:val="00D337C1"/>
    <w:rsid w:val="00D34DD2"/>
    <w:rsid w:val="00D355BF"/>
    <w:rsid w:val="00D364FB"/>
    <w:rsid w:val="00D365B3"/>
    <w:rsid w:val="00D3690F"/>
    <w:rsid w:val="00D369CE"/>
    <w:rsid w:val="00D37837"/>
    <w:rsid w:val="00D37C43"/>
    <w:rsid w:val="00D4011C"/>
    <w:rsid w:val="00D405F7"/>
    <w:rsid w:val="00D41759"/>
    <w:rsid w:val="00D42DB7"/>
    <w:rsid w:val="00D42EEF"/>
    <w:rsid w:val="00D43B01"/>
    <w:rsid w:val="00D43B49"/>
    <w:rsid w:val="00D44551"/>
    <w:rsid w:val="00D45B83"/>
    <w:rsid w:val="00D4615F"/>
    <w:rsid w:val="00D51764"/>
    <w:rsid w:val="00D532F6"/>
    <w:rsid w:val="00D53EC8"/>
    <w:rsid w:val="00D543FA"/>
    <w:rsid w:val="00D54703"/>
    <w:rsid w:val="00D5523A"/>
    <w:rsid w:val="00D554D3"/>
    <w:rsid w:val="00D5614E"/>
    <w:rsid w:val="00D56A19"/>
    <w:rsid w:val="00D57151"/>
    <w:rsid w:val="00D57483"/>
    <w:rsid w:val="00D574DE"/>
    <w:rsid w:val="00D57C74"/>
    <w:rsid w:val="00D6010F"/>
    <w:rsid w:val="00D602D1"/>
    <w:rsid w:val="00D6049D"/>
    <w:rsid w:val="00D616EB"/>
    <w:rsid w:val="00D62022"/>
    <w:rsid w:val="00D62047"/>
    <w:rsid w:val="00D62223"/>
    <w:rsid w:val="00D6262F"/>
    <w:rsid w:val="00D62D51"/>
    <w:rsid w:val="00D62E48"/>
    <w:rsid w:val="00D65213"/>
    <w:rsid w:val="00D65491"/>
    <w:rsid w:val="00D65704"/>
    <w:rsid w:val="00D66B66"/>
    <w:rsid w:val="00D67A23"/>
    <w:rsid w:val="00D7013D"/>
    <w:rsid w:val="00D71862"/>
    <w:rsid w:val="00D73818"/>
    <w:rsid w:val="00D73ED0"/>
    <w:rsid w:val="00D73F47"/>
    <w:rsid w:val="00D74B19"/>
    <w:rsid w:val="00D74C5B"/>
    <w:rsid w:val="00D74EE2"/>
    <w:rsid w:val="00D75E63"/>
    <w:rsid w:val="00D77100"/>
    <w:rsid w:val="00D8097F"/>
    <w:rsid w:val="00D80A9A"/>
    <w:rsid w:val="00D81FC9"/>
    <w:rsid w:val="00D8202B"/>
    <w:rsid w:val="00D82E2E"/>
    <w:rsid w:val="00D83A15"/>
    <w:rsid w:val="00D83DC8"/>
    <w:rsid w:val="00D85688"/>
    <w:rsid w:val="00D860D5"/>
    <w:rsid w:val="00D867EA"/>
    <w:rsid w:val="00D871C9"/>
    <w:rsid w:val="00D876C1"/>
    <w:rsid w:val="00D90038"/>
    <w:rsid w:val="00D9057C"/>
    <w:rsid w:val="00D91290"/>
    <w:rsid w:val="00D91A61"/>
    <w:rsid w:val="00D9261F"/>
    <w:rsid w:val="00D927AF"/>
    <w:rsid w:val="00D9292F"/>
    <w:rsid w:val="00D92BAE"/>
    <w:rsid w:val="00D93CD4"/>
    <w:rsid w:val="00D94B9D"/>
    <w:rsid w:val="00D95320"/>
    <w:rsid w:val="00D9687B"/>
    <w:rsid w:val="00D97006"/>
    <w:rsid w:val="00D971F5"/>
    <w:rsid w:val="00D97F32"/>
    <w:rsid w:val="00DA31DD"/>
    <w:rsid w:val="00DA45D6"/>
    <w:rsid w:val="00DA55CD"/>
    <w:rsid w:val="00DA6172"/>
    <w:rsid w:val="00DA6173"/>
    <w:rsid w:val="00DA66ED"/>
    <w:rsid w:val="00DA6D6D"/>
    <w:rsid w:val="00DA79C5"/>
    <w:rsid w:val="00DA7D3A"/>
    <w:rsid w:val="00DB052D"/>
    <w:rsid w:val="00DB05A0"/>
    <w:rsid w:val="00DB0A31"/>
    <w:rsid w:val="00DB0C1D"/>
    <w:rsid w:val="00DB1E1D"/>
    <w:rsid w:val="00DB1F83"/>
    <w:rsid w:val="00DB2467"/>
    <w:rsid w:val="00DB431A"/>
    <w:rsid w:val="00DB53C2"/>
    <w:rsid w:val="00DB553F"/>
    <w:rsid w:val="00DB74BE"/>
    <w:rsid w:val="00DB74D8"/>
    <w:rsid w:val="00DB779E"/>
    <w:rsid w:val="00DB7C52"/>
    <w:rsid w:val="00DC115F"/>
    <w:rsid w:val="00DC1B26"/>
    <w:rsid w:val="00DC2CC5"/>
    <w:rsid w:val="00DC3C85"/>
    <w:rsid w:val="00DC4743"/>
    <w:rsid w:val="00DC4DD7"/>
    <w:rsid w:val="00DC7575"/>
    <w:rsid w:val="00DC7DCD"/>
    <w:rsid w:val="00DD0DFD"/>
    <w:rsid w:val="00DD0F33"/>
    <w:rsid w:val="00DD0FE5"/>
    <w:rsid w:val="00DD2478"/>
    <w:rsid w:val="00DD2ED7"/>
    <w:rsid w:val="00DD5AF0"/>
    <w:rsid w:val="00DD707C"/>
    <w:rsid w:val="00DD7104"/>
    <w:rsid w:val="00DE1019"/>
    <w:rsid w:val="00DE388A"/>
    <w:rsid w:val="00DE389D"/>
    <w:rsid w:val="00DE4885"/>
    <w:rsid w:val="00DE5500"/>
    <w:rsid w:val="00DE5AC9"/>
    <w:rsid w:val="00DE644C"/>
    <w:rsid w:val="00DE665A"/>
    <w:rsid w:val="00DE781C"/>
    <w:rsid w:val="00DE790A"/>
    <w:rsid w:val="00DE7A81"/>
    <w:rsid w:val="00DF07F9"/>
    <w:rsid w:val="00DF15B7"/>
    <w:rsid w:val="00DF1DFB"/>
    <w:rsid w:val="00DF2479"/>
    <w:rsid w:val="00DF29E9"/>
    <w:rsid w:val="00DF45C3"/>
    <w:rsid w:val="00DF4649"/>
    <w:rsid w:val="00DF49EB"/>
    <w:rsid w:val="00DF52BD"/>
    <w:rsid w:val="00DF6EFB"/>
    <w:rsid w:val="00E002EB"/>
    <w:rsid w:val="00E04ECC"/>
    <w:rsid w:val="00E050B2"/>
    <w:rsid w:val="00E05C7F"/>
    <w:rsid w:val="00E06770"/>
    <w:rsid w:val="00E06F99"/>
    <w:rsid w:val="00E072B3"/>
    <w:rsid w:val="00E100D1"/>
    <w:rsid w:val="00E10A2B"/>
    <w:rsid w:val="00E10B78"/>
    <w:rsid w:val="00E11E38"/>
    <w:rsid w:val="00E1372A"/>
    <w:rsid w:val="00E140A0"/>
    <w:rsid w:val="00E14918"/>
    <w:rsid w:val="00E16361"/>
    <w:rsid w:val="00E16E5A"/>
    <w:rsid w:val="00E17157"/>
    <w:rsid w:val="00E1790D"/>
    <w:rsid w:val="00E17B58"/>
    <w:rsid w:val="00E2100B"/>
    <w:rsid w:val="00E21AE1"/>
    <w:rsid w:val="00E22F1C"/>
    <w:rsid w:val="00E232DB"/>
    <w:rsid w:val="00E2398D"/>
    <w:rsid w:val="00E24656"/>
    <w:rsid w:val="00E24976"/>
    <w:rsid w:val="00E25403"/>
    <w:rsid w:val="00E25AA2"/>
    <w:rsid w:val="00E2665A"/>
    <w:rsid w:val="00E26737"/>
    <w:rsid w:val="00E27326"/>
    <w:rsid w:val="00E27B3D"/>
    <w:rsid w:val="00E300D1"/>
    <w:rsid w:val="00E30F6F"/>
    <w:rsid w:val="00E31A26"/>
    <w:rsid w:val="00E32515"/>
    <w:rsid w:val="00E338AB"/>
    <w:rsid w:val="00E338BE"/>
    <w:rsid w:val="00E34C99"/>
    <w:rsid w:val="00E34DCC"/>
    <w:rsid w:val="00E35106"/>
    <w:rsid w:val="00E35952"/>
    <w:rsid w:val="00E35E87"/>
    <w:rsid w:val="00E370C0"/>
    <w:rsid w:val="00E37FAF"/>
    <w:rsid w:val="00E40C87"/>
    <w:rsid w:val="00E40CB3"/>
    <w:rsid w:val="00E4144D"/>
    <w:rsid w:val="00E41551"/>
    <w:rsid w:val="00E42C9A"/>
    <w:rsid w:val="00E43278"/>
    <w:rsid w:val="00E45CD7"/>
    <w:rsid w:val="00E471B1"/>
    <w:rsid w:val="00E473AB"/>
    <w:rsid w:val="00E505F8"/>
    <w:rsid w:val="00E50660"/>
    <w:rsid w:val="00E508B2"/>
    <w:rsid w:val="00E50B26"/>
    <w:rsid w:val="00E52C1B"/>
    <w:rsid w:val="00E5374A"/>
    <w:rsid w:val="00E543DA"/>
    <w:rsid w:val="00E612C9"/>
    <w:rsid w:val="00E61C42"/>
    <w:rsid w:val="00E625CA"/>
    <w:rsid w:val="00E6274B"/>
    <w:rsid w:val="00E629ED"/>
    <w:rsid w:val="00E634F8"/>
    <w:rsid w:val="00E63D6D"/>
    <w:rsid w:val="00E641BA"/>
    <w:rsid w:val="00E658C5"/>
    <w:rsid w:val="00E66AD5"/>
    <w:rsid w:val="00E7038B"/>
    <w:rsid w:val="00E70FB6"/>
    <w:rsid w:val="00E71025"/>
    <w:rsid w:val="00E710AF"/>
    <w:rsid w:val="00E71156"/>
    <w:rsid w:val="00E72597"/>
    <w:rsid w:val="00E72D0D"/>
    <w:rsid w:val="00E72D23"/>
    <w:rsid w:val="00E72D78"/>
    <w:rsid w:val="00E730C1"/>
    <w:rsid w:val="00E73C49"/>
    <w:rsid w:val="00E7513D"/>
    <w:rsid w:val="00E752B1"/>
    <w:rsid w:val="00E7541E"/>
    <w:rsid w:val="00E75777"/>
    <w:rsid w:val="00E75DE1"/>
    <w:rsid w:val="00E76F23"/>
    <w:rsid w:val="00E77C47"/>
    <w:rsid w:val="00E80098"/>
    <w:rsid w:val="00E81C02"/>
    <w:rsid w:val="00E81D4E"/>
    <w:rsid w:val="00E81E4B"/>
    <w:rsid w:val="00E81E65"/>
    <w:rsid w:val="00E81ED9"/>
    <w:rsid w:val="00E8283F"/>
    <w:rsid w:val="00E82993"/>
    <w:rsid w:val="00E835F8"/>
    <w:rsid w:val="00E85DDE"/>
    <w:rsid w:val="00E86F6A"/>
    <w:rsid w:val="00E9024C"/>
    <w:rsid w:val="00E90D8C"/>
    <w:rsid w:val="00E91618"/>
    <w:rsid w:val="00E93960"/>
    <w:rsid w:val="00E94C59"/>
    <w:rsid w:val="00E9564B"/>
    <w:rsid w:val="00E97926"/>
    <w:rsid w:val="00EA0B56"/>
    <w:rsid w:val="00EA19A1"/>
    <w:rsid w:val="00EA2934"/>
    <w:rsid w:val="00EA3665"/>
    <w:rsid w:val="00EA3E09"/>
    <w:rsid w:val="00EA3FA3"/>
    <w:rsid w:val="00EA42A7"/>
    <w:rsid w:val="00EA43D2"/>
    <w:rsid w:val="00EA4592"/>
    <w:rsid w:val="00EA51B0"/>
    <w:rsid w:val="00EA542B"/>
    <w:rsid w:val="00EA5806"/>
    <w:rsid w:val="00EA750B"/>
    <w:rsid w:val="00EB0689"/>
    <w:rsid w:val="00EB1F49"/>
    <w:rsid w:val="00EB2144"/>
    <w:rsid w:val="00EB21CE"/>
    <w:rsid w:val="00EB3D2F"/>
    <w:rsid w:val="00EB4D17"/>
    <w:rsid w:val="00EB5913"/>
    <w:rsid w:val="00EB5F9B"/>
    <w:rsid w:val="00EB66A8"/>
    <w:rsid w:val="00EB6D5A"/>
    <w:rsid w:val="00EB7424"/>
    <w:rsid w:val="00EB7DDB"/>
    <w:rsid w:val="00EC0427"/>
    <w:rsid w:val="00EC1017"/>
    <w:rsid w:val="00EC139C"/>
    <w:rsid w:val="00EC180E"/>
    <w:rsid w:val="00EC1CF8"/>
    <w:rsid w:val="00EC337B"/>
    <w:rsid w:val="00EC3AA1"/>
    <w:rsid w:val="00EC616A"/>
    <w:rsid w:val="00EC6650"/>
    <w:rsid w:val="00EC6F4F"/>
    <w:rsid w:val="00EC7E06"/>
    <w:rsid w:val="00ED0C06"/>
    <w:rsid w:val="00ED2267"/>
    <w:rsid w:val="00ED28FB"/>
    <w:rsid w:val="00ED2BE3"/>
    <w:rsid w:val="00ED4D16"/>
    <w:rsid w:val="00ED4EBA"/>
    <w:rsid w:val="00ED5B6B"/>
    <w:rsid w:val="00ED66C3"/>
    <w:rsid w:val="00ED6A79"/>
    <w:rsid w:val="00ED7262"/>
    <w:rsid w:val="00ED77C7"/>
    <w:rsid w:val="00EE19CA"/>
    <w:rsid w:val="00EE2640"/>
    <w:rsid w:val="00EE3514"/>
    <w:rsid w:val="00EE3BD1"/>
    <w:rsid w:val="00EE3F1E"/>
    <w:rsid w:val="00EE5172"/>
    <w:rsid w:val="00EE58C8"/>
    <w:rsid w:val="00EE6391"/>
    <w:rsid w:val="00EE6C20"/>
    <w:rsid w:val="00EE7479"/>
    <w:rsid w:val="00EE7C38"/>
    <w:rsid w:val="00EF042E"/>
    <w:rsid w:val="00EF0FD2"/>
    <w:rsid w:val="00EF30C1"/>
    <w:rsid w:val="00EF313C"/>
    <w:rsid w:val="00EF3A5B"/>
    <w:rsid w:val="00EF3AD7"/>
    <w:rsid w:val="00EF569B"/>
    <w:rsid w:val="00EF5740"/>
    <w:rsid w:val="00EF74A7"/>
    <w:rsid w:val="00F00D75"/>
    <w:rsid w:val="00F00F5B"/>
    <w:rsid w:val="00F02340"/>
    <w:rsid w:val="00F041A6"/>
    <w:rsid w:val="00F0420D"/>
    <w:rsid w:val="00F047FA"/>
    <w:rsid w:val="00F05743"/>
    <w:rsid w:val="00F05F52"/>
    <w:rsid w:val="00F0724A"/>
    <w:rsid w:val="00F111D8"/>
    <w:rsid w:val="00F11B5A"/>
    <w:rsid w:val="00F12850"/>
    <w:rsid w:val="00F1507A"/>
    <w:rsid w:val="00F16F0C"/>
    <w:rsid w:val="00F174E9"/>
    <w:rsid w:val="00F203DE"/>
    <w:rsid w:val="00F21CDA"/>
    <w:rsid w:val="00F238E3"/>
    <w:rsid w:val="00F262A4"/>
    <w:rsid w:val="00F26F07"/>
    <w:rsid w:val="00F26FF0"/>
    <w:rsid w:val="00F27C28"/>
    <w:rsid w:val="00F30365"/>
    <w:rsid w:val="00F308A6"/>
    <w:rsid w:val="00F30F42"/>
    <w:rsid w:val="00F33753"/>
    <w:rsid w:val="00F343BF"/>
    <w:rsid w:val="00F3446C"/>
    <w:rsid w:val="00F34A1C"/>
    <w:rsid w:val="00F34C7E"/>
    <w:rsid w:val="00F35381"/>
    <w:rsid w:val="00F36053"/>
    <w:rsid w:val="00F363F7"/>
    <w:rsid w:val="00F36FE1"/>
    <w:rsid w:val="00F37EBD"/>
    <w:rsid w:val="00F403AC"/>
    <w:rsid w:val="00F415C2"/>
    <w:rsid w:val="00F41E17"/>
    <w:rsid w:val="00F42079"/>
    <w:rsid w:val="00F4209B"/>
    <w:rsid w:val="00F420B3"/>
    <w:rsid w:val="00F427E5"/>
    <w:rsid w:val="00F44DF4"/>
    <w:rsid w:val="00F451DD"/>
    <w:rsid w:val="00F45C49"/>
    <w:rsid w:val="00F46500"/>
    <w:rsid w:val="00F47F58"/>
    <w:rsid w:val="00F50738"/>
    <w:rsid w:val="00F50C1C"/>
    <w:rsid w:val="00F50DBF"/>
    <w:rsid w:val="00F51443"/>
    <w:rsid w:val="00F51DFD"/>
    <w:rsid w:val="00F530C9"/>
    <w:rsid w:val="00F551CF"/>
    <w:rsid w:val="00F55F5A"/>
    <w:rsid w:val="00F565B5"/>
    <w:rsid w:val="00F60892"/>
    <w:rsid w:val="00F6247C"/>
    <w:rsid w:val="00F6278C"/>
    <w:rsid w:val="00F62F59"/>
    <w:rsid w:val="00F632DE"/>
    <w:rsid w:val="00F63B53"/>
    <w:rsid w:val="00F643F4"/>
    <w:rsid w:val="00F64F8A"/>
    <w:rsid w:val="00F66420"/>
    <w:rsid w:val="00F66570"/>
    <w:rsid w:val="00F669E1"/>
    <w:rsid w:val="00F70312"/>
    <w:rsid w:val="00F70B80"/>
    <w:rsid w:val="00F7162F"/>
    <w:rsid w:val="00F74702"/>
    <w:rsid w:val="00F76FA3"/>
    <w:rsid w:val="00F80AA5"/>
    <w:rsid w:val="00F8169C"/>
    <w:rsid w:val="00F81B15"/>
    <w:rsid w:val="00F82B0C"/>
    <w:rsid w:val="00F84554"/>
    <w:rsid w:val="00F84746"/>
    <w:rsid w:val="00F86DCB"/>
    <w:rsid w:val="00F87091"/>
    <w:rsid w:val="00F87458"/>
    <w:rsid w:val="00F87658"/>
    <w:rsid w:val="00F92FF6"/>
    <w:rsid w:val="00F93653"/>
    <w:rsid w:val="00F95155"/>
    <w:rsid w:val="00F967FA"/>
    <w:rsid w:val="00F96D43"/>
    <w:rsid w:val="00F9724D"/>
    <w:rsid w:val="00F97377"/>
    <w:rsid w:val="00F9774F"/>
    <w:rsid w:val="00F97A38"/>
    <w:rsid w:val="00FA0ABB"/>
    <w:rsid w:val="00FA0BB6"/>
    <w:rsid w:val="00FA11E4"/>
    <w:rsid w:val="00FA2566"/>
    <w:rsid w:val="00FA29F0"/>
    <w:rsid w:val="00FA375C"/>
    <w:rsid w:val="00FA4876"/>
    <w:rsid w:val="00FA6E19"/>
    <w:rsid w:val="00FA7B69"/>
    <w:rsid w:val="00FA7DD7"/>
    <w:rsid w:val="00FB09A2"/>
    <w:rsid w:val="00FB21F8"/>
    <w:rsid w:val="00FB2B1E"/>
    <w:rsid w:val="00FB340B"/>
    <w:rsid w:val="00FB36D4"/>
    <w:rsid w:val="00FB52BF"/>
    <w:rsid w:val="00FB58AF"/>
    <w:rsid w:val="00FB6ECD"/>
    <w:rsid w:val="00FC04FA"/>
    <w:rsid w:val="00FC1DB5"/>
    <w:rsid w:val="00FC2F03"/>
    <w:rsid w:val="00FC3926"/>
    <w:rsid w:val="00FC45B6"/>
    <w:rsid w:val="00FC5390"/>
    <w:rsid w:val="00FC580B"/>
    <w:rsid w:val="00FC59DF"/>
    <w:rsid w:val="00FC5BF7"/>
    <w:rsid w:val="00FC69A6"/>
    <w:rsid w:val="00FC7345"/>
    <w:rsid w:val="00FD10D8"/>
    <w:rsid w:val="00FD2745"/>
    <w:rsid w:val="00FD2A6B"/>
    <w:rsid w:val="00FD3E0B"/>
    <w:rsid w:val="00FD3FAD"/>
    <w:rsid w:val="00FD438B"/>
    <w:rsid w:val="00FD43BF"/>
    <w:rsid w:val="00FD4735"/>
    <w:rsid w:val="00FD4A0D"/>
    <w:rsid w:val="00FD5BCE"/>
    <w:rsid w:val="00FD7E1F"/>
    <w:rsid w:val="00FE123E"/>
    <w:rsid w:val="00FE1FEA"/>
    <w:rsid w:val="00FE228C"/>
    <w:rsid w:val="00FE2A5D"/>
    <w:rsid w:val="00FE3490"/>
    <w:rsid w:val="00FE3867"/>
    <w:rsid w:val="00FE4036"/>
    <w:rsid w:val="00FE58AB"/>
    <w:rsid w:val="00FE7087"/>
    <w:rsid w:val="00FE7547"/>
    <w:rsid w:val="00FF0C65"/>
    <w:rsid w:val="00FF0FD8"/>
    <w:rsid w:val="00FF3C2A"/>
    <w:rsid w:val="00FF3CC1"/>
    <w:rsid w:val="00FF4FE8"/>
    <w:rsid w:val="00FF5054"/>
    <w:rsid w:val="00FF661B"/>
    <w:rsid w:val="01852B10"/>
    <w:rsid w:val="022E66C8"/>
    <w:rsid w:val="023F091E"/>
    <w:rsid w:val="02A75873"/>
    <w:rsid w:val="02E86A24"/>
    <w:rsid w:val="066062D5"/>
    <w:rsid w:val="08DF5489"/>
    <w:rsid w:val="08E85A50"/>
    <w:rsid w:val="0C2E6ABE"/>
    <w:rsid w:val="0C4715A6"/>
    <w:rsid w:val="0E1D7967"/>
    <w:rsid w:val="147E0D0A"/>
    <w:rsid w:val="177940F4"/>
    <w:rsid w:val="189F26D5"/>
    <w:rsid w:val="1B3146EC"/>
    <w:rsid w:val="1BD47307"/>
    <w:rsid w:val="1C2C21B6"/>
    <w:rsid w:val="223D07A4"/>
    <w:rsid w:val="25CA5BB5"/>
    <w:rsid w:val="27422817"/>
    <w:rsid w:val="286B402E"/>
    <w:rsid w:val="2A85735D"/>
    <w:rsid w:val="2C4D64D1"/>
    <w:rsid w:val="2F06478B"/>
    <w:rsid w:val="2F396C81"/>
    <w:rsid w:val="301C5067"/>
    <w:rsid w:val="37913DF5"/>
    <w:rsid w:val="37A62FDF"/>
    <w:rsid w:val="38C057A9"/>
    <w:rsid w:val="3A1C384F"/>
    <w:rsid w:val="3B8543E0"/>
    <w:rsid w:val="3FD6607C"/>
    <w:rsid w:val="4B5A21CC"/>
    <w:rsid w:val="515F76FA"/>
    <w:rsid w:val="51CB0501"/>
    <w:rsid w:val="55CD7AAE"/>
    <w:rsid w:val="56121C3A"/>
    <w:rsid w:val="56C363EF"/>
    <w:rsid w:val="57AA7066"/>
    <w:rsid w:val="5C8D1EDB"/>
    <w:rsid w:val="60A4150F"/>
    <w:rsid w:val="65A437B1"/>
    <w:rsid w:val="66DB180E"/>
    <w:rsid w:val="68061660"/>
    <w:rsid w:val="68804B74"/>
    <w:rsid w:val="6CA16487"/>
    <w:rsid w:val="6F1E7E0C"/>
    <w:rsid w:val="6F7E0DC9"/>
    <w:rsid w:val="6FE72A79"/>
    <w:rsid w:val="70106904"/>
    <w:rsid w:val="70611913"/>
    <w:rsid w:val="76581F69"/>
    <w:rsid w:val="79603416"/>
    <w:rsid w:val="79E2680D"/>
    <w:rsid w:val="7BEB49ED"/>
    <w:rsid w:val="7D6858B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footnote reference" w:qFormat="1"/>
    <w:lsdException w:name="Title" w:semiHidden="0" w:uiPriority="10" w:unhideWhenUsed="0" w:qFormat="1"/>
    <w:lsdException w:name="Default Paragraph Font" w:uiPriority="1" w:qFormat="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13E"/>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rsid w:val="009F11F5"/>
    <w:pPr>
      <w:keepNext/>
      <w:spacing w:after="0" w:line="360" w:lineRule="auto"/>
      <w:jc w:val="center"/>
      <w:outlineLvl w:val="0"/>
    </w:pPr>
    <w:rPr>
      <w:rFonts w:ascii="Verdana" w:eastAsia="Times New Roman" w:hAnsi="Verdana"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13E"/>
    <w:pPr>
      <w:spacing w:after="0" w:line="240" w:lineRule="auto"/>
    </w:pPr>
    <w:rPr>
      <w:rFonts w:ascii="Tahoma" w:hAnsi="Tahoma" w:cs="Tahoma"/>
      <w:sz w:val="16"/>
      <w:szCs w:val="16"/>
    </w:rPr>
  </w:style>
  <w:style w:type="paragraph" w:styleId="CommentText">
    <w:name w:val="annotation text"/>
    <w:basedOn w:val="Normal"/>
    <w:link w:val="CommentTextChar"/>
    <w:uiPriority w:val="99"/>
    <w:unhideWhenUsed/>
    <w:qFormat/>
    <w:rsid w:val="0060013E"/>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60013E"/>
    <w:rPr>
      <w:b/>
      <w:bCs/>
    </w:rPr>
  </w:style>
  <w:style w:type="paragraph" w:styleId="Footer">
    <w:name w:val="footer"/>
    <w:basedOn w:val="Normal"/>
    <w:link w:val="FooterChar"/>
    <w:uiPriority w:val="99"/>
    <w:unhideWhenUsed/>
    <w:qFormat/>
    <w:rsid w:val="0060013E"/>
    <w:pPr>
      <w:tabs>
        <w:tab w:val="center" w:pos="4680"/>
        <w:tab w:val="right" w:pos="9360"/>
      </w:tabs>
      <w:spacing w:after="0" w:line="240" w:lineRule="auto"/>
    </w:pPr>
  </w:style>
  <w:style w:type="paragraph" w:styleId="FootnoteText">
    <w:name w:val="footnote text"/>
    <w:basedOn w:val="Normal"/>
    <w:link w:val="FootnoteTextChar"/>
    <w:uiPriority w:val="99"/>
    <w:semiHidden/>
    <w:unhideWhenUsed/>
    <w:rsid w:val="0060013E"/>
    <w:pPr>
      <w:spacing w:after="0" w:line="240" w:lineRule="auto"/>
    </w:pPr>
    <w:rPr>
      <w:sz w:val="20"/>
      <w:szCs w:val="20"/>
    </w:rPr>
  </w:style>
  <w:style w:type="paragraph" w:styleId="Header">
    <w:name w:val="header"/>
    <w:basedOn w:val="Normal"/>
    <w:link w:val="HeaderChar"/>
    <w:uiPriority w:val="99"/>
    <w:unhideWhenUsed/>
    <w:qFormat/>
    <w:rsid w:val="0060013E"/>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60013E"/>
    <w:rPr>
      <w:sz w:val="16"/>
      <w:szCs w:val="16"/>
    </w:rPr>
  </w:style>
  <w:style w:type="character" w:styleId="FootnoteReference">
    <w:name w:val="footnote reference"/>
    <w:basedOn w:val="DefaultParagraphFont"/>
    <w:uiPriority w:val="99"/>
    <w:semiHidden/>
    <w:unhideWhenUsed/>
    <w:qFormat/>
    <w:rsid w:val="0060013E"/>
    <w:rPr>
      <w:vertAlign w:val="superscript"/>
    </w:rPr>
  </w:style>
  <w:style w:type="table" w:styleId="TableGrid">
    <w:name w:val="Table Grid"/>
    <w:basedOn w:val="TableNormal"/>
    <w:uiPriority w:val="59"/>
    <w:rsid w:val="00600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0013E"/>
    <w:pPr>
      <w:ind w:left="720"/>
      <w:contextualSpacing/>
    </w:pPr>
  </w:style>
  <w:style w:type="character" w:customStyle="1" w:styleId="HeaderChar">
    <w:name w:val="Header Char"/>
    <w:basedOn w:val="DefaultParagraphFont"/>
    <w:link w:val="Header"/>
    <w:uiPriority w:val="99"/>
    <w:rsid w:val="0060013E"/>
  </w:style>
  <w:style w:type="character" w:customStyle="1" w:styleId="FooterChar">
    <w:name w:val="Footer Char"/>
    <w:basedOn w:val="DefaultParagraphFont"/>
    <w:link w:val="Footer"/>
    <w:uiPriority w:val="99"/>
    <w:rsid w:val="0060013E"/>
  </w:style>
  <w:style w:type="character" w:customStyle="1" w:styleId="BalloonTextChar">
    <w:name w:val="Balloon Text Char"/>
    <w:basedOn w:val="DefaultParagraphFont"/>
    <w:link w:val="BalloonText"/>
    <w:uiPriority w:val="99"/>
    <w:semiHidden/>
    <w:qFormat/>
    <w:rsid w:val="0060013E"/>
    <w:rPr>
      <w:rFonts w:ascii="Tahoma" w:hAnsi="Tahoma" w:cs="Tahoma"/>
      <w:sz w:val="16"/>
      <w:szCs w:val="16"/>
    </w:rPr>
  </w:style>
  <w:style w:type="paragraph" w:customStyle="1" w:styleId="A0E349F008B644AAB6A282E0D042D17E">
    <w:name w:val="A0E349F008B644AAB6A282E0D042D17E"/>
    <w:rsid w:val="0060013E"/>
    <w:pPr>
      <w:spacing w:after="200" w:line="276" w:lineRule="auto"/>
    </w:pPr>
    <w:rPr>
      <w:rFonts w:asciiTheme="minorHAnsi" w:eastAsiaTheme="minorEastAsia" w:hAnsiTheme="minorHAnsi" w:cstheme="minorBidi"/>
      <w:sz w:val="22"/>
      <w:szCs w:val="22"/>
      <w:lang w:val="en-US" w:eastAsia="ja-JP"/>
    </w:rPr>
  </w:style>
  <w:style w:type="character" w:customStyle="1" w:styleId="FootnoteTextChar">
    <w:name w:val="Footnote Text Char"/>
    <w:basedOn w:val="DefaultParagraphFont"/>
    <w:link w:val="FootnoteText"/>
    <w:uiPriority w:val="99"/>
    <w:semiHidden/>
    <w:rsid w:val="0060013E"/>
    <w:rPr>
      <w:sz w:val="20"/>
      <w:szCs w:val="20"/>
    </w:rPr>
  </w:style>
  <w:style w:type="character" w:customStyle="1" w:styleId="CommentTextChar">
    <w:name w:val="Comment Text Char"/>
    <w:basedOn w:val="DefaultParagraphFont"/>
    <w:link w:val="CommentText"/>
    <w:uiPriority w:val="99"/>
    <w:rsid w:val="0060013E"/>
    <w:rPr>
      <w:lang w:val="en-US" w:eastAsia="en-US"/>
    </w:rPr>
  </w:style>
  <w:style w:type="character" w:customStyle="1" w:styleId="CommentSubjectChar">
    <w:name w:val="Comment Subject Char"/>
    <w:basedOn w:val="CommentTextChar"/>
    <w:link w:val="CommentSubject"/>
    <w:uiPriority w:val="99"/>
    <w:semiHidden/>
    <w:rsid w:val="0060013E"/>
    <w:rPr>
      <w:b/>
      <w:bCs/>
      <w:lang w:val="en-US" w:eastAsia="en-US"/>
    </w:rPr>
  </w:style>
  <w:style w:type="table" w:styleId="LightShading-Accent3">
    <w:name w:val="Light Shading Accent 3"/>
    <w:basedOn w:val="TableNormal"/>
    <w:uiPriority w:val="60"/>
    <w:rsid w:val="003923F8"/>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3923F8"/>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11">
    <w:name w:val="Light Shading - Accent 11"/>
    <w:basedOn w:val="TableNormal"/>
    <w:uiPriority w:val="60"/>
    <w:rsid w:val="003923F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3923F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Revision">
    <w:name w:val="Revision"/>
    <w:hidden/>
    <w:uiPriority w:val="99"/>
    <w:semiHidden/>
    <w:rsid w:val="00C43FDA"/>
    <w:rPr>
      <w:rFonts w:asciiTheme="minorHAnsi" w:eastAsiaTheme="minorHAnsi" w:hAnsiTheme="minorHAnsi" w:cstheme="minorBidi"/>
      <w:sz w:val="22"/>
      <w:szCs w:val="22"/>
      <w:lang w:val="en-US" w:eastAsia="en-US"/>
    </w:rPr>
  </w:style>
  <w:style w:type="paragraph" w:customStyle="1" w:styleId="Default">
    <w:name w:val="Default"/>
    <w:rsid w:val="005B1D93"/>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9F11F5"/>
    <w:rPr>
      <w:rFonts w:ascii="Verdana" w:eastAsia="Times New Roman" w:hAnsi="Verdana" w:cs="Arial"/>
      <w:b/>
      <w:sz w:val="24"/>
      <w:szCs w:val="24"/>
      <w:lang w:val="en-US" w:eastAsia="en-US"/>
    </w:rPr>
  </w:style>
  <w:style w:type="paragraph" w:styleId="BodyText2">
    <w:name w:val="Body Text 2"/>
    <w:basedOn w:val="Normal"/>
    <w:link w:val="BodyText2Char"/>
    <w:semiHidden/>
    <w:rsid w:val="009F11F5"/>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semiHidden/>
    <w:rsid w:val="009F11F5"/>
    <w:rPr>
      <w:rFonts w:eastAsia="Times New Roman"/>
      <w:lang w:val="en-US" w:eastAsia="en-US"/>
    </w:rPr>
  </w:style>
  <w:style w:type="paragraph" w:customStyle="1" w:styleId="n">
    <w:name w:val="n"/>
    <w:basedOn w:val="Normal"/>
    <w:rsid w:val="009F11F5"/>
    <w:pPr>
      <w:spacing w:after="0" w:line="240" w:lineRule="auto"/>
      <w:jc w:val="both"/>
    </w:pPr>
    <w:rPr>
      <w:rFonts w:ascii="Book Antiqua" w:eastAsia="Times New Roman" w:hAnsi="Book Antiqua" w:cs="Times New Roman"/>
      <w:sz w:val="24"/>
      <w:szCs w:val="24"/>
      <w:lang w:val="en-GB"/>
    </w:rPr>
  </w:style>
  <w:style w:type="paragraph" w:customStyle="1" w:styleId="AIOCNORMAL">
    <w:name w:val="AIOC NORMAL"/>
    <w:basedOn w:val="Normal"/>
    <w:rsid w:val="009F11F5"/>
    <w:pPr>
      <w:tabs>
        <w:tab w:val="left" w:pos="1440"/>
      </w:tabs>
      <w:spacing w:before="120" w:after="60" w:line="240" w:lineRule="auto"/>
    </w:pPr>
    <w:rPr>
      <w:rFonts w:ascii="Book Antiqua" w:eastAsia="Times New Roman" w:hAnsi="Book Antiqua" w:cs="Times New Roman"/>
      <w:szCs w:val="20"/>
      <w:lang w:val="en-GB"/>
    </w:rPr>
  </w:style>
  <w:style w:type="paragraph" w:styleId="BodyText">
    <w:name w:val="Body Text"/>
    <w:basedOn w:val="Normal"/>
    <w:link w:val="BodyTextChar"/>
    <w:semiHidden/>
    <w:rsid w:val="009F11F5"/>
    <w:pPr>
      <w:spacing w:after="0" w:line="240" w:lineRule="auto"/>
      <w:jc w:val="center"/>
    </w:pPr>
    <w:rPr>
      <w:rFonts w:ascii="Verdana" w:eastAsia="Times New Roman" w:hAnsi="Verdana" w:cs="Arial"/>
      <w:b/>
      <w:sz w:val="24"/>
      <w:szCs w:val="24"/>
    </w:rPr>
  </w:style>
  <w:style w:type="character" w:customStyle="1" w:styleId="BodyTextChar">
    <w:name w:val="Body Text Char"/>
    <w:basedOn w:val="DefaultParagraphFont"/>
    <w:link w:val="BodyText"/>
    <w:semiHidden/>
    <w:rsid w:val="009F11F5"/>
    <w:rPr>
      <w:rFonts w:ascii="Verdana" w:eastAsia="Times New Roman" w:hAnsi="Verdana" w:cs="Arial"/>
      <w:b/>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15791">
      <w:bodyDiv w:val="1"/>
      <w:marLeft w:val="0"/>
      <w:marRight w:val="0"/>
      <w:marTop w:val="0"/>
      <w:marBottom w:val="0"/>
      <w:divBdr>
        <w:top w:val="none" w:sz="0" w:space="0" w:color="auto"/>
        <w:left w:val="none" w:sz="0" w:space="0" w:color="auto"/>
        <w:bottom w:val="none" w:sz="0" w:space="0" w:color="auto"/>
        <w:right w:val="none" w:sz="0" w:space="0" w:color="auto"/>
      </w:divBdr>
    </w:div>
    <w:div w:id="89816544">
      <w:bodyDiv w:val="1"/>
      <w:marLeft w:val="0"/>
      <w:marRight w:val="0"/>
      <w:marTop w:val="0"/>
      <w:marBottom w:val="0"/>
      <w:divBdr>
        <w:top w:val="none" w:sz="0" w:space="0" w:color="auto"/>
        <w:left w:val="none" w:sz="0" w:space="0" w:color="auto"/>
        <w:bottom w:val="none" w:sz="0" w:space="0" w:color="auto"/>
        <w:right w:val="none" w:sz="0" w:space="0" w:color="auto"/>
      </w:divBdr>
    </w:div>
    <w:div w:id="103501166">
      <w:bodyDiv w:val="1"/>
      <w:marLeft w:val="0"/>
      <w:marRight w:val="0"/>
      <w:marTop w:val="0"/>
      <w:marBottom w:val="0"/>
      <w:divBdr>
        <w:top w:val="none" w:sz="0" w:space="0" w:color="auto"/>
        <w:left w:val="none" w:sz="0" w:space="0" w:color="auto"/>
        <w:bottom w:val="none" w:sz="0" w:space="0" w:color="auto"/>
        <w:right w:val="none" w:sz="0" w:space="0" w:color="auto"/>
      </w:divBdr>
    </w:div>
    <w:div w:id="148401663">
      <w:bodyDiv w:val="1"/>
      <w:marLeft w:val="0"/>
      <w:marRight w:val="0"/>
      <w:marTop w:val="0"/>
      <w:marBottom w:val="0"/>
      <w:divBdr>
        <w:top w:val="none" w:sz="0" w:space="0" w:color="auto"/>
        <w:left w:val="none" w:sz="0" w:space="0" w:color="auto"/>
        <w:bottom w:val="none" w:sz="0" w:space="0" w:color="auto"/>
        <w:right w:val="none" w:sz="0" w:space="0" w:color="auto"/>
      </w:divBdr>
    </w:div>
    <w:div w:id="168646708">
      <w:bodyDiv w:val="1"/>
      <w:marLeft w:val="0"/>
      <w:marRight w:val="0"/>
      <w:marTop w:val="0"/>
      <w:marBottom w:val="0"/>
      <w:divBdr>
        <w:top w:val="none" w:sz="0" w:space="0" w:color="auto"/>
        <w:left w:val="none" w:sz="0" w:space="0" w:color="auto"/>
        <w:bottom w:val="none" w:sz="0" w:space="0" w:color="auto"/>
        <w:right w:val="none" w:sz="0" w:space="0" w:color="auto"/>
      </w:divBdr>
    </w:div>
    <w:div w:id="172719820">
      <w:bodyDiv w:val="1"/>
      <w:marLeft w:val="0"/>
      <w:marRight w:val="0"/>
      <w:marTop w:val="0"/>
      <w:marBottom w:val="0"/>
      <w:divBdr>
        <w:top w:val="none" w:sz="0" w:space="0" w:color="auto"/>
        <w:left w:val="none" w:sz="0" w:space="0" w:color="auto"/>
        <w:bottom w:val="none" w:sz="0" w:space="0" w:color="auto"/>
        <w:right w:val="none" w:sz="0" w:space="0" w:color="auto"/>
      </w:divBdr>
    </w:div>
    <w:div w:id="187253629">
      <w:bodyDiv w:val="1"/>
      <w:marLeft w:val="0"/>
      <w:marRight w:val="0"/>
      <w:marTop w:val="0"/>
      <w:marBottom w:val="0"/>
      <w:divBdr>
        <w:top w:val="none" w:sz="0" w:space="0" w:color="auto"/>
        <w:left w:val="none" w:sz="0" w:space="0" w:color="auto"/>
        <w:bottom w:val="none" w:sz="0" w:space="0" w:color="auto"/>
        <w:right w:val="none" w:sz="0" w:space="0" w:color="auto"/>
      </w:divBdr>
    </w:div>
    <w:div w:id="198712441">
      <w:bodyDiv w:val="1"/>
      <w:marLeft w:val="0"/>
      <w:marRight w:val="0"/>
      <w:marTop w:val="0"/>
      <w:marBottom w:val="0"/>
      <w:divBdr>
        <w:top w:val="none" w:sz="0" w:space="0" w:color="auto"/>
        <w:left w:val="none" w:sz="0" w:space="0" w:color="auto"/>
        <w:bottom w:val="none" w:sz="0" w:space="0" w:color="auto"/>
        <w:right w:val="none" w:sz="0" w:space="0" w:color="auto"/>
      </w:divBdr>
    </w:div>
    <w:div w:id="206794776">
      <w:bodyDiv w:val="1"/>
      <w:marLeft w:val="0"/>
      <w:marRight w:val="0"/>
      <w:marTop w:val="0"/>
      <w:marBottom w:val="0"/>
      <w:divBdr>
        <w:top w:val="none" w:sz="0" w:space="0" w:color="auto"/>
        <w:left w:val="none" w:sz="0" w:space="0" w:color="auto"/>
        <w:bottom w:val="none" w:sz="0" w:space="0" w:color="auto"/>
        <w:right w:val="none" w:sz="0" w:space="0" w:color="auto"/>
      </w:divBdr>
    </w:div>
    <w:div w:id="207959645">
      <w:bodyDiv w:val="1"/>
      <w:marLeft w:val="0"/>
      <w:marRight w:val="0"/>
      <w:marTop w:val="0"/>
      <w:marBottom w:val="0"/>
      <w:divBdr>
        <w:top w:val="none" w:sz="0" w:space="0" w:color="auto"/>
        <w:left w:val="none" w:sz="0" w:space="0" w:color="auto"/>
        <w:bottom w:val="none" w:sz="0" w:space="0" w:color="auto"/>
        <w:right w:val="none" w:sz="0" w:space="0" w:color="auto"/>
      </w:divBdr>
    </w:div>
    <w:div w:id="243416966">
      <w:bodyDiv w:val="1"/>
      <w:marLeft w:val="0"/>
      <w:marRight w:val="0"/>
      <w:marTop w:val="0"/>
      <w:marBottom w:val="0"/>
      <w:divBdr>
        <w:top w:val="none" w:sz="0" w:space="0" w:color="auto"/>
        <w:left w:val="none" w:sz="0" w:space="0" w:color="auto"/>
        <w:bottom w:val="none" w:sz="0" w:space="0" w:color="auto"/>
        <w:right w:val="none" w:sz="0" w:space="0" w:color="auto"/>
      </w:divBdr>
    </w:div>
    <w:div w:id="311759493">
      <w:bodyDiv w:val="1"/>
      <w:marLeft w:val="0"/>
      <w:marRight w:val="0"/>
      <w:marTop w:val="0"/>
      <w:marBottom w:val="0"/>
      <w:divBdr>
        <w:top w:val="none" w:sz="0" w:space="0" w:color="auto"/>
        <w:left w:val="none" w:sz="0" w:space="0" w:color="auto"/>
        <w:bottom w:val="none" w:sz="0" w:space="0" w:color="auto"/>
        <w:right w:val="none" w:sz="0" w:space="0" w:color="auto"/>
      </w:divBdr>
    </w:div>
    <w:div w:id="396516968">
      <w:bodyDiv w:val="1"/>
      <w:marLeft w:val="0"/>
      <w:marRight w:val="0"/>
      <w:marTop w:val="0"/>
      <w:marBottom w:val="0"/>
      <w:divBdr>
        <w:top w:val="none" w:sz="0" w:space="0" w:color="auto"/>
        <w:left w:val="none" w:sz="0" w:space="0" w:color="auto"/>
        <w:bottom w:val="none" w:sz="0" w:space="0" w:color="auto"/>
        <w:right w:val="none" w:sz="0" w:space="0" w:color="auto"/>
      </w:divBdr>
    </w:div>
    <w:div w:id="435951406">
      <w:bodyDiv w:val="1"/>
      <w:marLeft w:val="0"/>
      <w:marRight w:val="0"/>
      <w:marTop w:val="0"/>
      <w:marBottom w:val="0"/>
      <w:divBdr>
        <w:top w:val="none" w:sz="0" w:space="0" w:color="auto"/>
        <w:left w:val="none" w:sz="0" w:space="0" w:color="auto"/>
        <w:bottom w:val="none" w:sz="0" w:space="0" w:color="auto"/>
        <w:right w:val="none" w:sz="0" w:space="0" w:color="auto"/>
      </w:divBdr>
    </w:div>
    <w:div w:id="456293037">
      <w:bodyDiv w:val="1"/>
      <w:marLeft w:val="0"/>
      <w:marRight w:val="0"/>
      <w:marTop w:val="0"/>
      <w:marBottom w:val="0"/>
      <w:divBdr>
        <w:top w:val="none" w:sz="0" w:space="0" w:color="auto"/>
        <w:left w:val="none" w:sz="0" w:space="0" w:color="auto"/>
        <w:bottom w:val="none" w:sz="0" w:space="0" w:color="auto"/>
        <w:right w:val="none" w:sz="0" w:space="0" w:color="auto"/>
      </w:divBdr>
    </w:div>
    <w:div w:id="475604949">
      <w:bodyDiv w:val="1"/>
      <w:marLeft w:val="0"/>
      <w:marRight w:val="0"/>
      <w:marTop w:val="0"/>
      <w:marBottom w:val="0"/>
      <w:divBdr>
        <w:top w:val="none" w:sz="0" w:space="0" w:color="auto"/>
        <w:left w:val="none" w:sz="0" w:space="0" w:color="auto"/>
        <w:bottom w:val="none" w:sz="0" w:space="0" w:color="auto"/>
        <w:right w:val="none" w:sz="0" w:space="0" w:color="auto"/>
      </w:divBdr>
    </w:div>
    <w:div w:id="499079122">
      <w:bodyDiv w:val="1"/>
      <w:marLeft w:val="0"/>
      <w:marRight w:val="0"/>
      <w:marTop w:val="0"/>
      <w:marBottom w:val="0"/>
      <w:divBdr>
        <w:top w:val="none" w:sz="0" w:space="0" w:color="auto"/>
        <w:left w:val="none" w:sz="0" w:space="0" w:color="auto"/>
        <w:bottom w:val="none" w:sz="0" w:space="0" w:color="auto"/>
        <w:right w:val="none" w:sz="0" w:space="0" w:color="auto"/>
      </w:divBdr>
    </w:div>
    <w:div w:id="646978203">
      <w:bodyDiv w:val="1"/>
      <w:marLeft w:val="0"/>
      <w:marRight w:val="0"/>
      <w:marTop w:val="0"/>
      <w:marBottom w:val="0"/>
      <w:divBdr>
        <w:top w:val="none" w:sz="0" w:space="0" w:color="auto"/>
        <w:left w:val="none" w:sz="0" w:space="0" w:color="auto"/>
        <w:bottom w:val="none" w:sz="0" w:space="0" w:color="auto"/>
        <w:right w:val="none" w:sz="0" w:space="0" w:color="auto"/>
      </w:divBdr>
    </w:div>
    <w:div w:id="746028171">
      <w:bodyDiv w:val="1"/>
      <w:marLeft w:val="0"/>
      <w:marRight w:val="0"/>
      <w:marTop w:val="0"/>
      <w:marBottom w:val="0"/>
      <w:divBdr>
        <w:top w:val="none" w:sz="0" w:space="0" w:color="auto"/>
        <w:left w:val="none" w:sz="0" w:space="0" w:color="auto"/>
        <w:bottom w:val="none" w:sz="0" w:space="0" w:color="auto"/>
        <w:right w:val="none" w:sz="0" w:space="0" w:color="auto"/>
      </w:divBdr>
    </w:div>
    <w:div w:id="872768154">
      <w:bodyDiv w:val="1"/>
      <w:marLeft w:val="0"/>
      <w:marRight w:val="0"/>
      <w:marTop w:val="0"/>
      <w:marBottom w:val="0"/>
      <w:divBdr>
        <w:top w:val="none" w:sz="0" w:space="0" w:color="auto"/>
        <w:left w:val="none" w:sz="0" w:space="0" w:color="auto"/>
        <w:bottom w:val="none" w:sz="0" w:space="0" w:color="auto"/>
        <w:right w:val="none" w:sz="0" w:space="0" w:color="auto"/>
      </w:divBdr>
    </w:div>
    <w:div w:id="910233880">
      <w:bodyDiv w:val="1"/>
      <w:marLeft w:val="0"/>
      <w:marRight w:val="0"/>
      <w:marTop w:val="0"/>
      <w:marBottom w:val="0"/>
      <w:divBdr>
        <w:top w:val="none" w:sz="0" w:space="0" w:color="auto"/>
        <w:left w:val="none" w:sz="0" w:space="0" w:color="auto"/>
        <w:bottom w:val="none" w:sz="0" w:space="0" w:color="auto"/>
        <w:right w:val="none" w:sz="0" w:space="0" w:color="auto"/>
      </w:divBdr>
    </w:div>
    <w:div w:id="922689582">
      <w:bodyDiv w:val="1"/>
      <w:marLeft w:val="0"/>
      <w:marRight w:val="0"/>
      <w:marTop w:val="0"/>
      <w:marBottom w:val="0"/>
      <w:divBdr>
        <w:top w:val="none" w:sz="0" w:space="0" w:color="auto"/>
        <w:left w:val="none" w:sz="0" w:space="0" w:color="auto"/>
        <w:bottom w:val="none" w:sz="0" w:space="0" w:color="auto"/>
        <w:right w:val="none" w:sz="0" w:space="0" w:color="auto"/>
      </w:divBdr>
    </w:div>
    <w:div w:id="957370442">
      <w:bodyDiv w:val="1"/>
      <w:marLeft w:val="0"/>
      <w:marRight w:val="0"/>
      <w:marTop w:val="0"/>
      <w:marBottom w:val="0"/>
      <w:divBdr>
        <w:top w:val="none" w:sz="0" w:space="0" w:color="auto"/>
        <w:left w:val="none" w:sz="0" w:space="0" w:color="auto"/>
        <w:bottom w:val="none" w:sz="0" w:space="0" w:color="auto"/>
        <w:right w:val="none" w:sz="0" w:space="0" w:color="auto"/>
      </w:divBdr>
    </w:div>
    <w:div w:id="973675232">
      <w:bodyDiv w:val="1"/>
      <w:marLeft w:val="0"/>
      <w:marRight w:val="0"/>
      <w:marTop w:val="0"/>
      <w:marBottom w:val="0"/>
      <w:divBdr>
        <w:top w:val="none" w:sz="0" w:space="0" w:color="auto"/>
        <w:left w:val="none" w:sz="0" w:space="0" w:color="auto"/>
        <w:bottom w:val="none" w:sz="0" w:space="0" w:color="auto"/>
        <w:right w:val="none" w:sz="0" w:space="0" w:color="auto"/>
      </w:divBdr>
    </w:div>
    <w:div w:id="983242198">
      <w:bodyDiv w:val="1"/>
      <w:marLeft w:val="0"/>
      <w:marRight w:val="0"/>
      <w:marTop w:val="0"/>
      <w:marBottom w:val="0"/>
      <w:divBdr>
        <w:top w:val="none" w:sz="0" w:space="0" w:color="auto"/>
        <w:left w:val="none" w:sz="0" w:space="0" w:color="auto"/>
        <w:bottom w:val="none" w:sz="0" w:space="0" w:color="auto"/>
        <w:right w:val="none" w:sz="0" w:space="0" w:color="auto"/>
      </w:divBdr>
    </w:div>
    <w:div w:id="1013260834">
      <w:bodyDiv w:val="1"/>
      <w:marLeft w:val="0"/>
      <w:marRight w:val="0"/>
      <w:marTop w:val="0"/>
      <w:marBottom w:val="0"/>
      <w:divBdr>
        <w:top w:val="none" w:sz="0" w:space="0" w:color="auto"/>
        <w:left w:val="none" w:sz="0" w:space="0" w:color="auto"/>
        <w:bottom w:val="none" w:sz="0" w:space="0" w:color="auto"/>
        <w:right w:val="none" w:sz="0" w:space="0" w:color="auto"/>
      </w:divBdr>
    </w:div>
    <w:div w:id="1020473907">
      <w:bodyDiv w:val="1"/>
      <w:marLeft w:val="0"/>
      <w:marRight w:val="0"/>
      <w:marTop w:val="0"/>
      <w:marBottom w:val="0"/>
      <w:divBdr>
        <w:top w:val="none" w:sz="0" w:space="0" w:color="auto"/>
        <w:left w:val="none" w:sz="0" w:space="0" w:color="auto"/>
        <w:bottom w:val="none" w:sz="0" w:space="0" w:color="auto"/>
        <w:right w:val="none" w:sz="0" w:space="0" w:color="auto"/>
      </w:divBdr>
    </w:div>
    <w:div w:id="1024749730">
      <w:bodyDiv w:val="1"/>
      <w:marLeft w:val="0"/>
      <w:marRight w:val="0"/>
      <w:marTop w:val="0"/>
      <w:marBottom w:val="0"/>
      <w:divBdr>
        <w:top w:val="none" w:sz="0" w:space="0" w:color="auto"/>
        <w:left w:val="none" w:sz="0" w:space="0" w:color="auto"/>
        <w:bottom w:val="none" w:sz="0" w:space="0" w:color="auto"/>
        <w:right w:val="none" w:sz="0" w:space="0" w:color="auto"/>
      </w:divBdr>
    </w:div>
    <w:div w:id="1132136907">
      <w:bodyDiv w:val="1"/>
      <w:marLeft w:val="0"/>
      <w:marRight w:val="0"/>
      <w:marTop w:val="0"/>
      <w:marBottom w:val="0"/>
      <w:divBdr>
        <w:top w:val="none" w:sz="0" w:space="0" w:color="auto"/>
        <w:left w:val="none" w:sz="0" w:space="0" w:color="auto"/>
        <w:bottom w:val="none" w:sz="0" w:space="0" w:color="auto"/>
        <w:right w:val="none" w:sz="0" w:space="0" w:color="auto"/>
      </w:divBdr>
    </w:div>
    <w:div w:id="1282149900">
      <w:bodyDiv w:val="1"/>
      <w:marLeft w:val="0"/>
      <w:marRight w:val="0"/>
      <w:marTop w:val="0"/>
      <w:marBottom w:val="0"/>
      <w:divBdr>
        <w:top w:val="none" w:sz="0" w:space="0" w:color="auto"/>
        <w:left w:val="none" w:sz="0" w:space="0" w:color="auto"/>
        <w:bottom w:val="none" w:sz="0" w:space="0" w:color="auto"/>
        <w:right w:val="none" w:sz="0" w:space="0" w:color="auto"/>
      </w:divBdr>
    </w:div>
    <w:div w:id="1290746329">
      <w:bodyDiv w:val="1"/>
      <w:marLeft w:val="0"/>
      <w:marRight w:val="0"/>
      <w:marTop w:val="0"/>
      <w:marBottom w:val="0"/>
      <w:divBdr>
        <w:top w:val="none" w:sz="0" w:space="0" w:color="auto"/>
        <w:left w:val="none" w:sz="0" w:space="0" w:color="auto"/>
        <w:bottom w:val="none" w:sz="0" w:space="0" w:color="auto"/>
        <w:right w:val="none" w:sz="0" w:space="0" w:color="auto"/>
      </w:divBdr>
    </w:div>
    <w:div w:id="1437748585">
      <w:bodyDiv w:val="1"/>
      <w:marLeft w:val="0"/>
      <w:marRight w:val="0"/>
      <w:marTop w:val="0"/>
      <w:marBottom w:val="0"/>
      <w:divBdr>
        <w:top w:val="none" w:sz="0" w:space="0" w:color="auto"/>
        <w:left w:val="none" w:sz="0" w:space="0" w:color="auto"/>
        <w:bottom w:val="none" w:sz="0" w:space="0" w:color="auto"/>
        <w:right w:val="none" w:sz="0" w:space="0" w:color="auto"/>
      </w:divBdr>
    </w:div>
    <w:div w:id="1467114942">
      <w:bodyDiv w:val="1"/>
      <w:marLeft w:val="0"/>
      <w:marRight w:val="0"/>
      <w:marTop w:val="0"/>
      <w:marBottom w:val="0"/>
      <w:divBdr>
        <w:top w:val="none" w:sz="0" w:space="0" w:color="auto"/>
        <w:left w:val="none" w:sz="0" w:space="0" w:color="auto"/>
        <w:bottom w:val="none" w:sz="0" w:space="0" w:color="auto"/>
        <w:right w:val="none" w:sz="0" w:space="0" w:color="auto"/>
      </w:divBdr>
    </w:div>
    <w:div w:id="1474058485">
      <w:bodyDiv w:val="1"/>
      <w:marLeft w:val="0"/>
      <w:marRight w:val="0"/>
      <w:marTop w:val="0"/>
      <w:marBottom w:val="0"/>
      <w:divBdr>
        <w:top w:val="none" w:sz="0" w:space="0" w:color="auto"/>
        <w:left w:val="none" w:sz="0" w:space="0" w:color="auto"/>
        <w:bottom w:val="none" w:sz="0" w:space="0" w:color="auto"/>
        <w:right w:val="none" w:sz="0" w:space="0" w:color="auto"/>
      </w:divBdr>
    </w:div>
    <w:div w:id="1504321848">
      <w:bodyDiv w:val="1"/>
      <w:marLeft w:val="0"/>
      <w:marRight w:val="0"/>
      <w:marTop w:val="0"/>
      <w:marBottom w:val="0"/>
      <w:divBdr>
        <w:top w:val="none" w:sz="0" w:space="0" w:color="auto"/>
        <w:left w:val="none" w:sz="0" w:space="0" w:color="auto"/>
        <w:bottom w:val="none" w:sz="0" w:space="0" w:color="auto"/>
        <w:right w:val="none" w:sz="0" w:space="0" w:color="auto"/>
      </w:divBdr>
    </w:div>
    <w:div w:id="1508906956">
      <w:bodyDiv w:val="1"/>
      <w:marLeft w:val="0"/>
      <w:marRight w:val="0"/>
      <w:marTop w:val="0"/>
      <w:marBottom w:val="0"/>
      <w:divBdr>
        <w:top w:val="none" w:sz="0" w:space="0" w:color="auto"/>
        <w:left w:val="none" w:sz="0" w:space="0" w:color="auto"/>
        <w:bottom w:val="none" w:sz="0" w:space="0" w:color="auto"/>
        <w:right w:val="none" w:sz="0" w:space="0" w:color="auto"/>
      </w:divBdr>
    </w:div>
    <w:div w:id="1578662202">
      <w:bodyDiv w:val="1"/>
      <w:marLeft w:val="0"/>
      <w:marRight w:val="0"/>
      <w:marTop w:val="0"/>
      <w:marBottom w:val="0"/>
      <w:divBdr>
        <w:top w:val="none" w:sz="0" w:space="0" w:color="auto"/>
        <w:left w:val="none" w:sz="0" w:space="0" w:color="auto"/>
        <w:bottom w:val="none" w:sz="0" w:space="0" w:color="auto"/>
        <w:right w:val="none" w:sz="0" w:space="0" w:color="auto"/>
      </w:divBdr>
    </w:div>
    <w:div w:id="1584949974">
      <w:bodyDiv w:val="1"/>
      <w:marLeft w:val="0"/>
      <w:marRight w:val="0"/>
      <w:marTop w:val="0"/>
      <w:marBottom w:val="0"/>
      <w:divBdr>
        <w:top w:val="none" w:sz="0" w:space="0" w:color="auto"/>
        <w:left w:val="none" w:sz="0" w:space="0" w:color="auto"/>
        <w:bottom w:val="none" w:sz="0" w:space="0" w:color="auto"/>
        <w:right w:val="none" w:sz="0" w:space="0" w:color="auto"/>
      </w:divBdr>
    </w:div>
    <w:div w:id="1645309504">
      <w:bodyDiv w:val="1"/>
      <w:marLeft w:val="0"/>
      <w:marRight w:val="0"/>
      <w:marTop w:val="0"/>
      <w:marBottom w:val="0"/>
      <w:divBdr>
        <w:top w:val="none" w:sz="0" w:space="0" w:color="auto"/>
        <w:left w:val="none" w:sz="0" w:space="0" w:color="auto"/>
        <w:bottom w:val="none" w:sz="0" w:space="0" w:color="auto"/>
        <w:right w:val="none" w:sz="0" w:space="0" w:color="auto"/>
      </w:divBdr>
    </w:div>
    <w:div w:id="1658413730">
      <w:bodyDiv w:val="1"/>
      <w:marLeft w:val="0"/>
      <w:marRight w:val="0"/>
      <w:marTop w:val="0"/>
      <w:marBottom w:val="0"/>
      <w:divBdr>
        <w:top w:val="none" w:sz="0" w:space="0" w:color="auto"/>
        <w:left w:val="none" w:sz="0" w:space="0" w:color="auto"/>
        <w:bottom w:val="none" w:sz="0" w:space="0" w:color="auto"/>
        <w:right w:val="none" w:sz="0" w:space="0" w:color="auto"/>
      </w:divBdr>
    </w:div>
    <w:div w:id="1665546870">
      <w:bodyDiv w:val="1"/>
      <w:marLeft w:val="0"/>
      <w:marRight w:val="0"/>
      <w:marTop w:val="0"/>
      <w:marBottom w:val="0"/>
      <w:divBdr>
        <w:top w:val="none" w:sz="0" w:space="0" w:color="auto"/>
        <w:left w:val="none" w:sz="0" w:space="0" w:color="auto"/>
        <w:bottom w:val="none" w:sz="0" w:space="0" w:color="auto"/>
        <w:right w:val="none" w:sz="0" w:space="0" w:color="auto"/>
      </w:divBdr>
    </w:div>
    <w:div w:id="1705640745">
      <w:bodyDiv w:val="1"/>
      <w:marLeft w:val="0"/>
      <w:marRight w:val="0"/>
      <w:marTop w:val="0"/>
      <w:marBottom w:val="0"/>
      <w:divBdr>
        <w:top w:val="none" w:sz="0" w:space="0" w:color="auto"/>
        <w:left w:val="none" w:sz="0" w:space="0" w:color="auto"/>
        <w:bottom w:val="none" w:sz="0" w:space="0" w:color="auto"/>
        <w:right w:val="none" w:sz="0" w:space="0" w:color="auto"/>
      </w:divBdr>
    </w:div>
    <w:div w:id="1720595137">
      <w:bodyDiv w:val="1"/>
      <w:marLeft w:val="0"/>
      <w:marRight w:val="0"/>
      <w:marTop w:val="0"/>
      <w:marBottom w:val="0"/>
      <w:divBdr>
        <w:top w:val="none" w:sz="0" w:space="0" w:color="auto"/>
        <w:left w:val="none" w:sz="0" w:space="0" w:color="auto"/>
        <w:bottom w:val="none" w:sz="0" w:space="0" w:color="auto"/>
        <w:right w:val="none" w:sz="0" w:space="0" w:color="auto"/>
      </w:divBdr>
    </w:div>
    <w:div w:id="1736472458">
      <w:bodyDiv w:val="1"/>
      <w:marLeft w:val="0"/>
      <w:marRight w:val="0"/>
      <w:marTop w:val="0"/>
      <w:marBottom w:val="0"/>
      <w:divBdr>
        <w:top w:val="none" w:sz="0" w:space="0" w:color="auto"/>
        <w:left w:val="none" w:sz="0" w:space="0" w:color="auto"/>
        <w:bottom w:val="none" w:sz="0" w:space="0" w:color="auto"/>
        <w:right w:val="none" w:sz="0" w:space="0" w:color="auto"/>
      </w:divBdr>
    </w:div>
    <w:div w:id="1836335779">
      <w:bodyDiv w:val="1"/>
      <w:marLeft w:val="0"/>
      <w:marRight w:val="0"/>
      <w:marTop w:val="0"/>
      <w:marBottom w:val="0"/>
      <w:divBdr>
        <w:top w:val="none" w:sz="0" w:space="0" w:color="auto"/>
        <w:left w:val="none" w:sz="0" w:space="0" w:color="auto"/>
        <w:bottom w:val="none" w:sz="0" w:space="0" w:color="auto"/>
        <w:right w:val="none" w:sz="0" w:space="0" w:color="auto"/>
      </w:divBdr>
    </w:div>
    <w:div w:id="1849565803">
      <w:bodyDiv w:val="1"/>
      <w:marLeft w:val="0"/>
      <w:marRight w:val="0"/>
      <w:marTop w:val="0"/>
      <w:marBottom w:val="0"/>
      <w:divBdr>
        <w:top w:val="none" w:sz="0" w:space="0" w:color="auto"/>
        <w:left w:val="none" w:sz="0" w:space="0" w:color="auto"/>
        <w:bottom w:val="none" w:sz="0" w:space="0" w:color="auto"/>
        <w:right w:val="none" w:sz="0" w:space="0" w:color="auto"/>
      </w:divBdr>
    </w:div>
    <w:div w:id="1888374965">
      <w:bodyDiv w:val="1"/>
      <w:marLeft w:val="0"/>
      <w:marRight w:val="0"/>
      <w:marTop w:val="0"/>
      <w:marBottom w:val="0"/>
      <w:divBdr>
        <w:top w:val="none" w:sz="0" w:space="0" w:color="auto"/>
        <w:left w:val="none" w:sz="0" w:space="0" w:color="auto"/>
        <w:bottom w:val="none" w:sz="0" w:space="0" w:color="auto"/>
        <w:right w:val="none" w:sz="0" w:space="0" w:color="auto"/>
      </w:divBdr>
    </w:div>
    <w:div w:id="1925646133">
      <w:bodyDiv w:val="1"/>
      <w:marLeft w:val="0"/>
      <w:marRight w:val="0"/>
      <w:marTop w:val="0"/>
      <w:marBottom w:val="0"/>
      <w:divBdr>
        <w:top w:val="none" w:sz="0" w:space="0" w:color="auto"/>
        <w:left w:val="none" w:sz="0" w:space="0" w:color="auto"/>
        <w:bottom w:val="none" w:sz="0" w:space="0" w:color="auto"/>
        <w:right w:val="none" w:sz="0" w:space="0" w:color="auto"/>
      </w:divBdr>
    </w:div>
    <w:div w:id="1927496312">
      <w:bodyDiv w:val="1"/>
      <w:marLeft w:val="0"/>
      <w:marRight w:val="0"/>
      <w:marTop w:val="0"/>
      <w:marBottom w:val="0"/>
      <w:divBdr>
        <w:top w:val="none" w:sz="0" w:space="0" w:color="auto"/>
        <w:left w:val="none" w:sz="0" w:space="0" w:color="auto"/>
        <w:bottom w:val="none" w:sz="0" w:space="0" w:color="auto"/>
        <w:right w:val="none" w:sz="0" w:space="0" w:color="auto"/>
      </w:divBdr>
    </w:div>
    <w:div w:id="1961297714">
      <w:bodyDiv w:val="1"/>
      <w:marLeft w:val="0"/>
      <w:marRight w:val="0"/>
      <w:marTop w:val="0"/>
      <w:marBottom w:val="0"/>
      <w:divBdr>
        <w:top w:val="none" w:sz="0" w:space="0" w:color="auto"/>
        <w:left w:val="none" w:sz="0" w:space="0" w:color="auto"/>
        <w:bottom w:val="none" w:sz="0" w:space="0" w:color="auto"/>
        <w:right w:val="none" w:sz="0" w:space="0" w:color="auto"/>
      </w:divBdr>
    </w:div>
    <w:div w:id="1984850239">
      <w:bodyDiv w:val="1"/>
      <w:marLeft w:val="0"/>
      <w:marRight w:val="0"/>
      <w:marTop w:val="0"/>
      <w:marBottom w:val="0"/>
      <w:divBdr>
        <w:top w:val="none" w:sz="0" w:space="0" w:color="auto"/>
        <w:left w:val="none" w:sz="0" w:space="0" w:color="auto"/>
        <w:bottom w:val="none" w:sz="0" w:space="0" w:color="auto"/>
        <w:right w:val="none" w:sz="0" w:space="0" w:color="auto"/>
      </w:divBdr>
    </w:div>
    <w:div w:id="1995840260">
      <w:bodyDiv w:val="1"/>
      <w:marLeft w:val="0"/>
      <w:marRight w:val="0"/>
      <w:marTop w:val="0"/>
      <w:marBottom w:val="0"/>
      <w:divBdr>
        <w:top w:val="none" w:sz="0" w:space="0" w:color="auto"/>
        <w:left w:val="none" w:sz="0" w:space="0" w:color="auto"/>
        <w:bottom w:val="none" w:sz="0" w:space="0" w:color="auto"/>
        <w:right w:val="none" w:sz="0" w:space="0" w:color="auto"/>
      </w:divBdr>
    </w:div>
    <w:div w:id="2002586282">
      <w:bodyDiv w:val="1"/>
      <w:marLeft w:val="0"/>
      <w:marRight w:val="0"/>
      <w:marTop w:val="0"/>
      <w:marBottom w:val="0"/>
      <w:divBdr>
        <w:top w:val="none" w:sz="0" w:space="0" w:color="auto"/>
        <w:left w:val="none" w:sz="0" w:space="0" w:color="auto"/>
        <w:bottom w:val="none" w:sz="0" w:space="0" w:color="auto"/>
        <w:right w:val="none" w:sz="0" w:space="0" w:color="auto"/>
      </w:divBdr>
    </w:div>
    <w:div w:id="2027441883">
      <w:bodyDiv w:val="1"/>
      <w:marLeft w:val="0"/>
      <w:marRight w:val="0"/>
      <w:marTop w:val="0"/>
      <w:marBottom w:val="0"/>
      <w:divBdr>
        <w:top w:val="none" w:sz="0" w:space="0" w:color="auto"/>
        <w:left w:val="none" w:sz="0" w:space="0" w:color="auto"/>
        <w:bottom w:val="none" w:sz="0" w:space="0" w:color="auto"/>
        <w:right w:val="none" w:sz="0" w:space="0" w:color="auto"/>
      </w:divBdr>
    </w:div>
    <w:div w:id="2036418882">
      <w:bodyDiv w:val="1"/>
      <w:marLeft w:val="0"/>
      <w:marRight w:val="0"/>
      <w:marTop w:val="0"/>
      <w:marBottom w:val="0"/>
      <w:divBdr>
        <w:top w:val="none" w:sz="0" w:space="0" w:color="auto"/>
        <w:left w:val="none" w:sz="0" w:space="0" w:color="auto"/>
        <w:bottom w:val="none" w:sz="0" w:space="0" w:color="auto"/>
        <w:right w:val="none" w:sz="0" w:space="0" w:color="auto"/>
      </w:divBdr>
    </w:div>
    <w:div w:id="204663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A9D61F9-1323-46A1-A2DF-8F6751C8EF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6290</TotalTime>
  <Pages>1</Pages>
  <Words>3799</Words>
  <Characters>21660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Thrissur Corporation Electricity Department</dc:creator>
  <cp:lastModifiedBy>Microsoft</cp:lastModifiedBy>
  <cp:revision>112</cp:revision>
  <cp:lastPrinted>2023-11-27T05:21:00Z</cp:lastPrinted>
  <dcterms:created xsi:type="dcterms:W3CDTF">2023-10-12T04:02:00Z</dcterms:created>
  <dcterms:modified xsi:type="dcterms:W3CDTF">2023-11-27T05:22:00Z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1033-11.2.0.9669</vt:lpwstr>
  </property>
</Properties>
</file>